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FC4C" w14:textId="205463B8" w:rsidR="007E678D" w:rsidRDefault="007E678D" w:rsidP="007E678D">
      <w:pPr>
        <w:rPr>
          <w:rFonts w:ascii="Times New Roman" w:hAnsi="Times New Roman" w:cs="Times New Roman"/>
          <w:b/>
          <w:sz w:val="28"/>
          <w:szCs w:val="28"/>
        </w:rPr>
      </w:pPr>
      <w:r>
        <w:rPr>
          <w:noProof/>
        </w:rPr>
        <w:drawing>
          <wp:anchor distT="0" distB="0" distL="114300" distR="114300" simplePos="0" relativeHeight="251662336" behindDoc="0" locked="0" layoutInCell="1" allowOverlap="1" wp14:anchorId="11870EBC" wp14:editId="66387E5B">
            <wp:simplePos x="0" y="0"/>
            <wp:positionH relativeFrom="column">
              <wp:posOffset>0</wp:posOffset>
            </wp:positionH>
            <wp:positionV relativeFrom="paragraph">
              <wp:posOffset>0</wp:posOffset>
            </wp:positionV>
            <wp:extent cx="7143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Directorate of Natural Resources - Fisheries Department</w:t>
      </w:r>
    </w:p>
    <w:p w14:paraId="75779359" w14:textId="77777777" w:rsidR="007E678D" w:rsidRDefault="007E678D" w:rsidP="007E678D">
      <w:pPr>
        <w:spacing w:after="0"/>
        <w:rPr>
          <w:rFonts w:ascii="Times New Roman" w:hAnsi="Times New Roman" w:cs="Times New Roman"/>
          <w:b/>
          <w:sz w:val="24"/>
          <w:szCs w:val="28"/>
        </w:rPr>
      </w:pPr>
      <w:r>
        <w:rPr>
          <w:rFonts w:ascii="Times New Roman" w:hAnsi="Times New Roman" w:cs="Times New Roman"/>
          <w:b/>
          <w:sz w:val="24"/>
          <w:szCs w:val="28"/>
        </w:rPr>
        <w:t xml:space="preserve">Fisheries (Conservation and Management) Ordinance 2005 </w:t>
      </w:r>
    </w:p>
    <w:p w14:paraId="075CAFD4" w14:textId="77777777" w:rsidR="007E678D" w:rsidRDefault="007E678D" w:rsidP="007E678D">
      <w:pPr>
        <w:spacing w:after="0"/>
        <w:rPr>
          <w:rFonts w:ascii="Times New Roman" w:hAnsi="Times New Roman" w:cs="Times New Roman"/>
          <w:b/>
          <w:sz w:val="24"/>
          <w:szCs w:val="28"/>
        </w:rPr>
      </w:pPr>
      <w:r>
        <w:rPr>
          <w:rFonts w:ascii="Times New Roman" w:hAnsi="Times New Roman" w:cs="Times New Roman"/>
          <w:b/>
          <w:sz w:val="24"/>
          <w:szCs w:val="28"/>
        </w:rPr>
        <w:t>Guidance on ITQ B Action Plans</w:t>
      </w:r>
    </w:p>
    <w:p w14:paraId="59A95B16" w14:textId="77777777" w:rsidR="007E450B" w:rsidRDefault="007E450B">
      <w:pPr>
        <w:rPr>
          <w:rFonts w:ascii="Times New Roman" w:hAnsi="Times New Roman" w:cs="Times New Roman"/>
          <w:b/>
          <w:sz w:val="28"/>
          <w:szCs w:val="28"/>
        </w:rPr>
      </w:pPr>
    </w:p>
    <w:p w14:paraId="6620FC1C" w14:textId="1A74A38D" w:rsidR="00047E71" w:rsidRDefault="00047E71">
      <w:pPr>
        <w:rPr>
          <w:rFonts w:ascii="Times New Roman" w:hAnsi="Times New Roman" w:cs="Times New Roman"/>
          <w:sz w:val="24"/>
          <w:szCs w:val="24"/>
        </w:rPr>
      </w:pPr>
    </w:p>
    <w:p w14:paraId="07B328D9" w14:textId="280C910F" w:rsidR="00047E71" w:rsidRPr="00047E71" w:rsidRDefault="00047E71">
      <w:pPr>
        <w:rPr>
          <w:rFonts w:ascii="Times New Roman" w:hAnsi="Times New Roman" w:cs="Times New Roman"/>
          <w:b/>
          <w:bCs/>
          <w:sz w:val="24"/>
          <w:szCs w:val="24"/>
        </w:rPr>
      </w:pPr>
      <w:r>
        <w:rPr>
          <w:rFonts w:ascii="Times New Roman" w:hAnsi="Times New Roman" w:cs="Times New Roman"/>
          <w:b/>
          <w:bCs/>
          <w:sz w:val="24"/>
          <w:szCs w:val="24"/>
        </w:rPr>
        <w:t>Introduction</w:t>
      </w:r>
    </w:p>
    <w:p w14:paraId="5E96DB5C" w14:textId="5995E28C" w:rsidR="00F8100A" w:rsidRDefault="00C75167">
      <w:pPr>
        <w:rPr>
          <w:rFonts w:ascii="Times New Roman" w:hAnsi="Times New Roman" w:cs="Times New Roman"/>
          <w:sz w:val="24"/>
          <w:szCs w:val="24"/>
        </w:rPr>
      </w:pPr>
      <w:r>
        <w:rPr>
          <w:rFonts w:ascii="Times New Roman" w:hAnsi="Times New Roman" w:cs="Times New Roman"/>
          <w:sz w:val="24"/>
          <w:szCs w:val="24"/>
        </w:rPr>
        <w:t>Under t</w:t>
      </w:r>
      <w:r w:rsidR="00F8100A">
        <w:rPr>
          <w:rFonts w:ascii="Times New Roman" w:hAnsi="Times New Roman" w:cs="Times New Roman"/>
          <w:sz w:val="24"/>
          <w:szCs w:val="24"/>
        </w:rPr>
        <w:t>he Fisheries (Conservation &amp; Management) Ordinance 2005</w:t>
      </w:r>
      <w:r w:rsidR="00333A14">
        <w:rPr>
          <w:rFonts w:ascii="Times New Roman" w:hAnsi="Times New Roman" w:cs="Times New Roman"/>
          <w:sz w:val="24"/>
          <w:szCs w:val="24"/>
        </w:rPr>
        <w:t>,</w:t>
      </w:r>
      <w:r w:rsidR="00F8100A">
        <w:rPr>
          <w:rFonts w:ascii="Times New Roman" w:hAnsi="Times New Roman" w:cs="Times New Roman"/>
          <w:sz w:val="24"/>
          <w:szCs w:val="24"/>
        </w:rPr>
        <w:t xml:space="preserve"> as amended in 2021</w:t>
      </w:r>
      <w:r w:rsidR="00333A14">
        <w:rPr>
          <w:rFonts w:ascii="Times New Roman" w:hAnsi="Times New Roman" w:cs="Times New Roman"/>
          <w:sz w:val="24"/>
          <w:szCs w:val="24"/>
        </w:rPr>
        <w:t xml:space="preserve">, and </w:t>
      </w:r>
      <w:r w:rsidR="00BF6DB9">
        <w:rPr>
          <w:rFonts w:ascii="Times New Roman" w:hAnsi="Times New Roman" w:cs="Times New Roman"/>
          <w:sz w:val="24"/>
          <w:szCs w:val="24"/>
        </w:rPr>
        <w:t>the</w:t>
      </w:r>
      <w:r w:rsidR="00333A14">
        <w:rPr>
          <w:rFonts w:ascii="Times New Roman" w:hAnsi="Times New Roman" w:cs="Times New Roman"/>
          <w:sz w:val="24"/>
          <w:szCs w:val="24"/>
        </w:rPr>
        <w:t xml:space="preserve"> </w:t>
      </w:r>
      <w:r w:rsidR="00BF6DB9">
        <w:rPr>
          <w:rFonts w:ascii="Times New Roman" w:hAnsi="Times New Roman" w:cs="Times New Roman"/>
          <w:sz w:val="24"/>
          <w:szCs w:val="24"/>
        </w:rPr>
        <w:t>R</w:t>
      </w:r>
      <w:r w:rsidR="00333A14">
        <w:rPr>
          <w:rFonts w:ascii="Times New Roman" w:hAnsi="Times New Roman" w:cs="Times New Roman"/>
          <w:sz w:val="24"/>
          <w:szCs w:val="24"/>
        </w:rPr>
        <w:t>egul</w:t>
      </w:r>
      <w:r w:rsidR="004018F0">
        <w:rPr>
          <w:rFonts w:ascii="Times New Roman" w:hAnsi="Times New Roman" w:cs="Times New Roman"/>
          <w:sz w:val="24"/>
          <w:szCs w:val="24"/>
        </w:rPr>
        <w:t>a</w:t>
      </w:r>
      <w:r w:rsidR="00333A14">
        <w:rPr>
          <w:rFonts w:ascii="Times New Roman" w:hAnsi="Times New Roman" w:cs="Times New Roman"/>
          <w:sz w:val="24"/>
          <w:szCs w:val="24"/>
        </w:rPr>
        <w:t>tion</w:t>
      </w:r>
      <w:r w:rsidR="004018F0">
        <w:rPr>
          <w:rFonts w:ascii="Times New Roman" w:hAnsi="Times New Roman" w:cs="Times New Roman"/>
          <w:sz w:val="24"/>
          <w:szCs w:val="24"/>
        </w:rPr>
        <w:t>s</w:t>
      </w:r>
      <w:r w:rsidR="00333A14">
        <w:rPr>
          <w:rFonts w:ascii="Times New Roman" w:hAnsi="Times New Roman" w:cs="Times New Roman"/>
          <w:sz w:val="24"/>
          <w:szCs w:val="24"/>
        </w:rPr>
        <w:t xml:space="preserve"> made under it</w:t>
      </w:r>
      <w:r w:rsidR="00F8100A">
        <w:rPr>
          <w:rFonts w:ascii="Times New Roman" w:hAnsi="Times New Roman" w:cs="Times New Roman"/>
          <w:sz w:val="24"/>
          <w:szCs w:val="24"/>
        </w:rPr>
        <w:t xml:space="preserve">, </w:t>
      </w:r>
      <w:r>
        <w:rPr>
          <w:rFonts w:ascii="Times New Roman" w:hAnsi="Times New Roman" w:cs="Times New Roman"/>
          <w:sz w:val="24"/>
          <w:szCs w:val="24"/>
        </w:rPr>
        <w:t>it is</w:t>
      </w:r>
      <w:r w:rsidR="00F8100A">
        <w:rPr>
          <w:rFonts w:ascii="Times New Roman" w:hAnsi="Times New Roman" w:cs="Times New Roman"/>
          <w:sz w:val="24"/>
          <w:szCs w:val="24"/>
        </w:rPr>
        <w:t xml:space="preserve"> a condition of eligibility for ITQ B </w:t>
      </w:r>
      <w:r>
        <w:rPr>
          <w:rFonts w:ascii="Times New Roman" w:hAnsi="Times New Roman" w:cs="Times New Roman"/>
          <w:sz w:val="24"/>
          <w:szCs w:val="24"/>
        </w:rPr>
        <w:t xml:space="preserve">for a company </w:t>
      </w:r>
      <w:r w:rsidR="00F8100A">
        <w:rPr>
          <w:rFonts w:ascii="Times New Roman" w:hAnsi="Times New Roman" w:cs="Times New Roman"/>
          <w:sz w:val="24"/>
          <w:szCs w:val="24"/>
        </w:rPr>
        <w:t xml:space="preserve">to have an action plan in place, that is approved by the Director of Natural Resources. </w:t>
      </w:r>
    </w:p>
    <w:p w14:paraId="435CE253" w14:textId="0F284B90" w:rsidR="00F8100A" w:rsidRDefault="00F8100A">
      <w:pPr>
        <w:rPr>
          <w:rFonts w:ascii="Times New Roman" w:hAnsi="Times New Roman" w:cs="Times New Roman"/>
          <w:sz w:val="24"/>
          <w:szCs w:val="24"/>
        </w:rPr>
      </w:pPr>
      <w:r>
        <w:rPr>
          <w:rFonts w:ascii="Times New Roman" w:hAnsi="Times New Roman" w:cs="Times New Roman"/>
          <w:sz w:val="24"/>
          <w:szCs w:val="24"/>
        </w:rPr>
        <w:t>This guidance, issued by the Director, covers:</w:t>
      </w:r>
    </w:p>
    <w:p w14:paraId="7F617D21" w14:textId="047E01A3" w:rsidR="00333A14" w:rsidRDefault="00333A14" w:rsidP="00333A14">
      <w:pPr>
        <w:pStyle w:val="ListParagraph"/>
        <w:numPr>
          <w:ilvl w:val="0"/>
          <w:numId w:val="10"/>
        </w:numPr>
        <w:rPr>
          <w:rFonts w:ascii="Times New Roman" w:hAnsi="Times New Roman" w:cs="Times New Roman"/>
          <w:sz w:val="24"/>
          <w:szCs w:val="24"/>
        </w:rPr>
      </w:pPr>
      <w:bookmarkStart w:id="0" w:name="_Hlk74234712"/>
      <w:r>
        <w:rPr>
          <w:rFonts w:ascii="Times New Roman" w:hAnsi="Times New Roman" w:cs="Times New Roman"/>
          <w:sz w:val="24"/>
          <w:szCs w:val="24"/>
        </w:rPr>
        <w:t>How the approval of an action plan relates to the process for the granting of an application for ITQ B eligibility</w:t>
      </w:r>
      <w:bookmarkEnd w:id="0"/>
    </w:p>
    <w:p w14:paraId="3DC7CA41" w14:textId="14DE2347" w:rsidR="00F8100A" w:rsidRDefault="00F8100A" w:rsidP="00F8100A">
      <w:pPr>
        <w:pStyle w:val="ListParagraph"/>
        <w:numPr>
          <w:ilvl w:val="0"/>
          <w:numId w:val="10"/>
        </w:numPr>
        <w:rPr>
          <w:rFonts w:ascii="Times New Roman" w:hAnsi="Times New Roman" w:cs="Times New Roman"/>
          <w:sz w:val="24"/>
          <w:szCs w:val="24"/>
        </w:rPr>
      </w:pPr>
      <w:bookmarkStart w:id="1" w:name="_Hlk74727223"/>
      <w:r>
        <w:rPr>
          <w:rFonts w:ascii="Times New Roman" w:hAnsi="Times New Roman" w:cs="Times New Roman"/>
          <w:sz w:val="24"/>
          <w:szCs w:val="24"/>
        </w:rPr>
        <w:t>How action plans are drawn up and approved</w:t>
      </w:r>
    </w:p>
    <w:p w14:paraId="28FC0534" w14:textId="27D7E56A" w:rsidR="00C75167" w:rsidRDefault="00C75167" w:rsidP="00F8100A">
      <w:pPr>
        <w:pStyle w:val="ListParagraph"/>
        <w:numPr>
          <w:ilvl w:val="0"/>
          <w:numId w:val="10"/>
        </w:numPr>
        <w:rPr>
          <w:rFonts w:ascii="Times New Roman" w:hAnsi="Times New Roman" w:cs="Times New Roman"/>
          <w:sz w:val="24"/>
          <w:szCs w:val="24"/>
        </w:rPr>
      </w:pPr>
      <w:bookmarkStart w:id="2" w:name="_Hlk74810942"/>
      <w:r>
        <w:rPr>
          <w:rFonts w:ascii="Times New Roman" w:hAnsi="Times New Roman" w:cs="Times New Roman"/>
          <w:sz w:val="24"/>
          <w:szCs w:val="24"/>
        </w:rPr>
        <w:t>What action plans will contain</w:t>
      </w:r>
    </w:p>
    <w:p w14:paraId="098DE133" w14:textId="77777777" w:rsidR="00F8100A" w:rsidRDefault="00F8100A" w:rsidP="00F8100A">
      <w:pPr>
        <w:pStyle w:val="ListParagraph"/>
        <w:numPr>
          <w:ilvl w:val="0"/>
          <w:numId w:val="10"/>
        </w:numPr>
        <w:rPr>
          <w:rFonts w:ascii="Times New Roman" w:hAnsi="Times New Roman" w:cs="Times New Roman"/>
          <w:sz w:val="24"/>
          <w:szCs w:val="24"/>
        </w:rPr>
      </w:pPr>
      <w:bookmarkStart w:id="3" w:name="_Hlk74811052"/>
      <w:bookmarkEnd w:id="1"/>
      <w:bookmarkEnd w:id="2"/>
      <w:r>
        <w:rPr>
          <w:rFonts w:ascii="Times New Roman" w:hAnsi="Times New Roman" w:cs="Times New Roman"/>
          <w:sz w:val="24"/>
          <w:szCs w:val="24"/>
        </w:rPr>
        <w:t>How progress against action plans is monitored and assessed</w:t>
      </w:r>
      <w:bookmarkEnd w:id="3"/>
    </w:p>
    <w:p w14:paraId="12906C1F" w14:textId="6790D519" w:rsidR="00333A14" w:rsidRDefault="00F8100A" w:rsidP="00F8100A">
      <w:pPr>
        <w:pStyle w:val="ListParagraph"/>
        <w:numPr>
          <w:ilvl w:val="0"/>
          <w:numId w:val="10"/>
        </w:numPr>
        <w:rPr>
          <w:rFonts w:ascii="Times New Roman" w:hAnsi="Times New Roman" w:cs="Times New Roman"/>
          <w:sz w:val="24"/>
          <w:szCs w:val="24"/>
        </w:rPr>
      </w:pPr>
      <w:bookmarkStart w:id="4" w:name="_Hlk74812504"/>
      <w:r>
        <w:rPr>
          <w:rFonts w:ascii="Times New Roman" w:hAnsi="Times New Roman" w:cs="Times New Roman"/>
          <w:sz w:val="24"/>
          <w:szCs w:val="24"/>
        </w:rPr>
        <w:t>How penalties may be applie</w:t>
      </w:r>
      <w:r w:rsidR="00333A14">
        <w:rPr>
          <w:rFonts w:ascii="Times New Roman" w:hAnsi="Times New Roman" w:cs="Times New Roman"/>
          <w:sz w:val="24"/>
          <w:szCs w:val="24"/>
        </w:rPr>
        <w:t>d</w:t>
      </w:r>
      <w:r>
        <w:rPr>
          <w:rFonts w:ascii="Times New Roman" w:hAnsi="Times New Roman" w:cs="Times New Roman"/>
          <w:sz w:val="24"/>
          <w:szCs w:val="24"/>
        </w:rPr>
        <w:t xml:space="preserve"> if</w:t>
      </w:r>
      <w:r w:rsidR="00333A14">
        <w:rPr>
          <w:rFonts w:ascii="Times New Roman" w:hAnsi="Times New Roman" w:cs="Times New Roman"/>
          <w:sz w:val="24"/>
          <w:szCs w:val="24"/>
        </w:rPr>
        <w:t xml:space="preserve"> the </w:t>
      </w:r>
      <w:r w:rsidR="002D514A">
        <w:rPr>
          <w:rFonts w:ascii="Times New Roman" w:hAnsi="Times New Roman" w:cs="Times New Roman"/>
          <w:sz w:val="24"/>
          <w:szCs w:val="24"/>
        </w:rPr>
        <w:t xml:space="preserve">targets and milestones </w:t>
      </w:r>
      <w:r w:rsidR="00333A14">
        <w:rPr>
          <w:rFonts w:ascii="Times New Roman" w:hAnsi="Times New Roman" w:cs="Times New Roman"/>
          <w:sz w:val="24"/>
          <w:szCs w:val="24"/>
        </w:rPr>
        <w:t>in action plans are not met</w:t>
      </w:r>
      <w:bookmarkEnd w:id="4"/>
    </w:p>
    <w:p w14:paraId="654D1A54" w14:textId="7112643B" w:rsidR="00333A14" w:rsidRDefault="00333A14" w:rsidP="00F8100A">
      <w:pPr>
        <w:pStyle w:val="ListParagraph"/>
        <w:numPr>
          <w:ilvl w:val="0"/>
          <w:numId w:val="10"/>
        </w:numPr>
        <w:rPr>
          <w:rFonts w:ascii="Times New Roman" w:hAnsi="Times New Roman" w:cs="Times New Roman"/>
          <w:sz w:val="24"/>
          <w:szCs w:val="24"/>
        </w:rPr>
      </w:pPr>
      <w:bookmarkStart w:id="5" w:name="_Hlk74814036"/>
      <w:r>
        <w:rPr>
          <w:rFonts w:ascii="Times New Roman" w:hAnsi="Times New Roman" w:cs="Times New Roman"/>
          <w:sz w:val="24"/>
          <w:szCs w:val="24"/>
        </w:rPr>
        <w:t xml:space="preserve">How companies may seek a review for certain decisions </w:t>
      </w:r>
      <w:r w:rsidR="00C75167">
        <w:rPr>
          <w:rFonts w:ascii="Times New Roman" w:hAnsi="Times New Roman" w:cs="Times New Roman"/>
          <w:sz w:val="24"/>
          <w:szCs w:val="24"/>
        </w:rPr>
        <w:t>made</w:t>
      </w:r>
      <w:r>
        <w:rPr>
          <w:rFonts w:ascii="Times New Roman" w:hAnsi="Times New Roman" w:cs="Times New Roman"/>
          <w:sz w:val="24"/>
          <w:szCs w:val="24"/>
        </w:rPr>
        <w:t xml:space="preserve"> by the Director in relation to action plans</w:t>
      </w:r>
    </w:p>
    <w:p w14:paraId="0348C537" w14:textId="0A6412D9" w:rsidR="00333A14" w:rsidRDefault="00333A14" w:rsidP="00F8100A">
      <w:pPr>
        <w:pStyle w:val="ListParagraph"/>
        <w:numPr>
          <w:ilvl w:val="0"/>
          <w:numId w:val="10"/>
        </w:numPr>
        <w:rPr>
          <w:rFonts w:ascii="Times New Roman" w:hAnsi="Times New Roman" w:cs="Times New Roman"/>
          <w:sz w:val="24"/>
          <w:szCs w:val="24"/>
        </w:rPr>
      </w:pPr>
      <w:bookmarkStart w:id="6" w:name="_Hlk74814780"/>
      <w:bookmarkEnd w:id="5"/>
      <w:r>
        <w:rPr>
          <w:rFonts w:ascii="Times New Roman" w:hAnsi="Times New Roman" w:cs="Times New Roman"/>
          <w:sz w:val="24"/>
          <w:szCs w:val="24"/>
        </w:rPr>
        <w:t>How it is intended that action plans will be reviewed and refreshed over time.</w:t>
      </w:r>
    </w:p>
    <w:bookmarkEnd w:id="6"/>
    <w:p w14:paraId="11F70676" w14:textId="19450B68" w:rsidR="004018F0" w:rsidRPr="004018F0" w:rsidRDefault="00333A14" w:rsidP="00333A14">
      <w:pPr>
        <w:rPr>
          <w:rFonts w:ascii="Times New Roman" w:hAnsi="Times New Roman" w:cs="Times New Roman"/>
          <w:i/>
          <w:sz w:val="24"/>
          <w:szCs w:val="24"/>
        </w:rPr>
      </w:pPr>
      <w:r w:rsidRPr="004018F0">
        <w:rPr>
          <w:rFonts w:ascii="Times New Roman" w:hAnsi="Times New Roman" w:cs="Times New Roman"/>
          <w:i/>
          <w:sz w:val="24"/>
          <w:szCs w:val="24"/>
        </w:rPr>
        <w:t xml:space="preserve">This guidance seeks to explain and clarify the law, but </w:t>
      </w:r>
      <w:r w:rsidR="00C564BA">
        <w:rPr>
          <w:rFonts w:ascii="Times New Roman" w:hAnsi="Times New Roman" w:cs="Times New Roman"/>
          <w:i/>
          <w:sz w:val="24"/>
          <w:szCs w:val="24"/>
        </w:rPr>
        <w:t xml:space="preserve">it </w:t>
      </w:r>
      <w:r w:rsidR="002D514A">
        <w:rPr>
          <w:rFonts w:ascii="Times New Roman" w:hAnsi="Times New Roman" w:cs="Times New Roman"/>
          <w:i/>
          <w:sz w:val="24"/>
          <w:szCs w:val="24"/>
        </w:rPr>
        <w:t>does not form part of the legislation</w:t>
      </w:r>
      <w:r w:rsidRPr="004018F0">
        <w:rPr>
          <w:rFonts w:ascii="Times New Roman" w:hAnsi="Times New Roman" w:cs="Times New Roman"/>
          <w:i/>
          <w:sz w:val="24"/>
          <w:szCs w:val="24"/>
        </w:rPr>
        <w:t>. For the avoidance of doubt</w:t>
      </w:r>
      <w:r w:rsidR="00C564BA">
        <w:rPr>
          <w:rFonts w:ascii="Times New Roman" w:hAnsi="Times New Roman" w:cs="Times New Roman"/>
          <w:i/>
          <w:sz w:val="24"/>
          <w:szCs w:val="24"/>
        </w:rPr>
        <w:t>,</w:t>
      </w:r>
      <w:r w:rsidRPr="004018F0">
        <w:rPr>
          <w:rFonts w:ascii="Times New Roman" w:hAnsi="Times New Roman" w:cs="Times New Roman"/>
          <w:i/>
          <w:sz w:val="24"/>
          <w:szCs w:val="24"/>
        </w:rPr>
        <w:t xml:space="preserve"> if ther</w:t>
      </w:r>
      <w:r w:rsidR="004018F0" w:rsidRPr="004018F0">
        <w:rPr>
          <w:rFonts w:ascii="Times New Roman" w:hAnsi="Times New Roman" w:cs="Times New Roman"/>
          <w:i/>
          <w:sz w:val="24"/>
          <w:szCs w:val="24"/>
        </w:rPr>
        <w:t>e</w:t>
      </w:r>
      <w:r w:rsidRPr="004018F0">
        <w:rPr>
          <w:rFonts w:ascii="Times New Roman" w:hAnsi="Times New Roman" w:cs="Times New Roman"/>
          <w:i/>
          <w:sz w:val="24"/>
          <w:szCs w:val="24"/>
        </w:rPr>
        <w:t xml:space="preserve"> i</w:t>
      </w:r>
      <w:r w:rsidR="004018F0" w:rsidRPr="004018F0">
        <w:rPr>
          <w:rFonts w:ascii="Times New Roman" w:hAnsi="Times New Roman" w:cs="Times New Roman"/>
          <w:i/>
          <w:sz w:val="24"/>
          <w:szCs w:val="24"/>
        </w:rPr>
        <w:t>s</w:t>
      </w:r>
      <w:r w:rsidRPr="004018F0">
        <w:rPr>
          <w:rFonts w:ascii="Times New Roman" w:hAnsi="Times New Roman" w:cs="Times New Roman"/>
          <w:i/>
          <w:sz w:val="24"/>
          <w:szCs w:val="24"/>
        </w:rPr>
        <w:t xml:space="preserve"> any inconsistency betw</w:t>
      </w:r>
      <w:r w:rsidR="004018F0" w:rsidRPr="004018F0">
        <w:rPr>
          <w:rFonts w:ascii="Times New Roman" w:hAnsi="Times New Roman" w:cs="Times New Roman"/>
          <w:i/>
          <w:sz w:val="24"/>
          <w:szCs w:val="24"/>
        </w:rPr>
        <w:t>een</w:t>
      </w:r>
      <w:r w:rsidRPr="004018F0">
        <w:rPr>
          <w:rFonts w:ascii="Times New Roman" w:hAnsi="Times New Roman" w:cs="Times New Roman"/>
          <w:i/>
          <w:sz w:val="24"/>
          <w:szCs w:val="24"/>
        </w:rPr>
        <w:t xml:space="preserve"> this guidance and the</w:t>
      </w:r>
      <w:r w:rsidR="004018F0" w:rsidRPr="004018F0">
        <w:rPr>
          <w:rFonts w:ascii="Times New Roman" w:hAnsi="Times New Roman" w:cs="Times New Roman"/>
          <w:i/>
          <w:sz w:val="24"/>
          <w:szCs w:val="24"/>
        </w:rPr>
        <w:t xml:space="preserve"> legislation, then the legislation should be regarded as definitive.</w:t>
      </w:r>
    </w:p>
    <w:p w14:paraId="7E781A9A" w14:textId="34B1542D" w:rsidR="00333A14" w:rsidRPr="00333A14" w:rsidRDefault="00333A14" w:rsidP="00333A14">
      <w:pPr>
        <w:rPr>
          <w:rFonts w:ascii="Times New Roman" w:hAnsi="Times New Roman" w:cs="Times New Roman"/>
          <w:sz w:val="24"/>
          <w:szCs w:val="24"/>
        </w:rPr>
      </w:pPr>
      <w:r>
        <w:rPr>
          <w:rFonts w:ascii="Times New Roman" w:hAnsi="Times New Roman" w:cs="Times New Roman"/>
          <w:sz w:val="24"/>
          <w:szCs w:val="24"/>
        </w:rPr>
        <w:t xml:space="preserve"> </w:t>
      </w:r>
    </w:p>
    <w:p w14:paraId="34AE1C94" w14:textId="281310CC" w:rsidR="00F8100A" w:rsidRPr="00333A14" w:rsidRDefault="00333A14" w:rsidP="00333A14">
      <w:pPr>
        <w:rPr>
          <w:rFonts w:ascii="Times New Roman" w:hAnsi="Times New Roman" w:cs="Times New Roman"/>
          <w:b/>
          <w:sz w:val="24"/>
          <w:szCs w:val="24"/>
        </w:rPr>
      </w:pPr>
      <w:r w:rsidRPr="00333A14">
        <w:rPr>
          <w:rFonts w:ascii="Times New Roman" w:hAnsi="Times New Roman" w:cs="Times New Roman"/>
          <w:b/>
          <w:sz w:val="24"/>
          <w:szCs w:val="24"/>
        </w:rPr>
        <w:t>How the approval of an action plan relates to the process for the granting of an application for ITQ B eligibility</w:t>
      </w:r>
    </w:p>
    <w:p w14:paraId="7F14C613" w14:textId="1C43D522" w:rsidR="00753776" w:rsidRPr="00B3221F" w:rsidRDefault="00753776">
      <w:pPr>
        <w:rPr>
          <w:rFonts w:ascii="Times New Roman" w:hAnsi="Times New Roman" w:cs="Times New Roman"/>
          <w:sz w:val="24"/>
          <w:szCs w:val="24"/>
        </w:rPr>
      </w:pPr>
      <w:r w:rsidRPr="00B3221F">
        <w:rPr>
          <w:rFonts w:ascii="Times New Roman" w:hAnsi="Times New Roman" w:cs="Times New Roman"/>
          <w:sz w:val="24"/>
          <w:szCs w:val="24"/>
        </w:rPr>
        <w:t xml:space="preserve">To hold ITQ B, a company will need to </w:t>
      </w:r>
      <w:r w:rsidR="00B3221F" w:rsidRPr="00B3221F">
        <w:rPr>
          <w:rFonts w:ascii="Times New Roman" w:hAnsi="Times New Roman" w:cs="Times New Roman"/>
          <w:sz w:val="24"/>
          <w:szCs w:val="24"/>
        </w:rPr>
        <w:t xml:space="preserve">meet, and </w:t>
      </w:r>
      <w:r w:rsidR="003E4242" w:rsidRPr="00B3221F">
        <w:rPr>
          <w:rFonts w:ascii="Times New Roman" w:hAnsi="Times New Roman" w:cs="Times New Roman"/>
          <w:sz w:val="24"/>
          <w:szCs w:val="24"/>
        </w:rPr>
        <w:t xml:space="preserve">continue to </w:t>
      </w:r>
      <w:r w:rsidRPr="00B3221F">
        <w:rPr>
          <w:rFonts w:ascii="Times New Roman" w:hAnsi="Times New Roman" w:cs="Times New Roman"/>
          <w:sz w:val="24"/>
          <w:szCs w:val="24"/>
        </w:rPr>
        <w:t>meet</w:t>
      </w:r>
      <w:r w:rsidR="00B3221F" w:rsidRPr="00B3221F">
        <w:rPr>
          <w:rFonts w:ascii="Times New Roman" w:hAnsi="Times New Roman" w:cs="Times New Roman"/>
          <w:sz w:val="24"/>
          <w:szCs w:val="24"/>
        </w:rPr>
        <w:t>,</w:t>
      </w:r>
      <w:r w:rsidRPr="00B3221F">
        <w:rPr>
          <w:rFonts w:ascii="Times New Roman" w:hAnsi="Times New Roman" w:cs="Times New Roman"/>
          <w:sz w:val="24"/>
          <w:szCs w:val="24"/>
        </w:rPr>
        <w:t xml:space="preserve"> </w:t>
      </w:r>
      <w:r w:rsidR="00333A14">
        <w:rPr>
          <w:rFonts w:ascii="Times New Roman" w:hAnsi="Times New Roman" w:cs="Times New Roman"/>
          <w:sz w:val="24"/>
          <w:szCs w:val="24"/>
        </w:rPr>
        <w:t>the</w:t>
      </w:r>
      <w:r w:rsidRPr="00B3221F">
        <w:rPr>
          <w:rFonts w:ascii="Times New Roman" w:hAnsi="Times New Roman" w:cs="Times New Roman"/>
          <w:sz w:val="24"/>
          <w:szCs w:val="24"/>
        </w:rPr>
        <w:t xml:space="preserve"> ITQ </w:t>
      </w:r>
      <w:r w:rsidR="003E4242" w:rsidRPr="00B3221F">
        <w:rPr>
          <w:rFonts w:ascii="Times New Roman" w:hAnsi="Times New Roman" w:cs="Times New Roman"/>
          <w:sz w:val="24"/>
          <w:szCs w:val="24"/>
        </w:rPr>
        <w:t xml:space="preserve">B </w:t>
      </w:r>
      <w:r w:rsidRPr="00B3221F">
        <w:rPr>
          <w:rFonts w:ascii="Times New Roman" w:hAnsi="Times New Roman" w:cs="Times New Roman"/>
          <w:sz w:val="24"/>
          <w:szCs w:val="24"/>
        </w:rPr>
        <w:t>eligibility criteria</w:t>
      </w:r>
      <w:r w:rsidR="00333A14">
        <w:rPr>
          <w:rFonts w:ascii="Times New Roman" w:hAnsi="Times New Roman" w:cs="Times New Roman"/>
          <w:sz w:val="24"/>
          <w:szCs w:val="24"/>
        </w:rPr>
        <w:t xml:space="preserve"> set out in the Ordinance</w:t>
      </w:r>
      <w:r w:rsidRPr="00B3221F">
        <w:rPr>
          <w:rFonts w:ascii="Times New Roman" w:hAnsi="Times New Roman" w:cs="Times New Roman"/>
          <w:sz w:val="24"/>
          <w:szCs w:val="24"/>
        </w:rPr>
        <w:t>, chiefly</w:t>
      </w:r>
      <w:r w:rsidR="00C564BA">
        <w:rPr>
          <w:rFonts w:ascii="Times New Roman" w:hAnsi="Times New Roman" w:cs="Times New Roman"/>
          <w:sz w:val="24"/>
          <w:szCs w:val="24"/>
        </w:rPr>
        <w:t xml:space="preserve"> </w:t>
      </w:r>
      <w:r w:rsidR="004018F0">
        <w:rPr>
          <w:rFonts w:ascii="Times New Roman" w:hAnsi="Times New Roman" w:cs="Times New Roman"/>
          <w:sz w:val="24"/>
          <w:szCs w:val="24"/>
        </w:rPr>
        <w:t>that</w:t>
      </w:r>
      <w:r w:rsidRPr="00B3221F">
        <w:rPr>
          <w:rFonts w:ascii="Times New Roman" w:hAnsi="Times New Roman" w:cs="Times New Roman"/>
          <w:sz w:val="24"/>
          <w:szCs w:val="24"/>
        </w:rPr>
        <w:t>:</w:t>
      </w:r>
    </w:p>
    <w:p w14:paraId="5C1B0C1C" w14:textId="553A2E99" w:rsidR="00753776" w:rsidRPr="00B3221F" w:rsidRDefault="00C564BA" w:rsidP="00753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they </w:t>
      </w:r>
      <w:r w:rsidR="00753776" w:rsidRPr="00B3221F">
        <w:rPr>
          <w:rFonts w:ascii="Times New Roman" w:hAnsi="Times New Roman" w:cs="Times New Roman"/>
          <w:sz w:val="24"/>
          <w:szCs w:val="24"/>
        </w:rPr>
        <w:t>meet all the existing ITQ eligibility criteria</w:t>
      </w:r>
      <w:r>
        <w:rPr>
          <w:rFonts w:ascii="Times New Roman" w:hAnsi="Times New Roman" w:cs="Times New Roman"/>
          <w:sz w:val="24"/>
          <w:szCs w:val="24"/>
        </w:rPr>
        <w:t xml:space="preserve"> that have been in place since 2005</w:t>
      </w:r>
      <w:r w:rsidR="00753776" w:rsidRPr="00B3221F">
        <w:rPr>
          <w:rFonts w:ascii="Times New Roman" w:hAnsi="Times New Roman" w:cs="Times New Roman"/>
          <w:sz w:val="24"/>
          <w:szCs w:val="24"/>
        </w:rPr>
        <w:t>; and</w:t>
      </w:r>
    </w:p>
    <w:p w14:paraId="492540BD" w14:textId="08D352D3" w:rsidR="003E4242" w:rsidRPr="00B3221F" w:rsidRDefault="00C564BA" w:rsidP="00753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they </w:t>
      </w:r>
      <w:r w:rsidR="00B3221F" w:rsidRPr="00B3221F">
        <w:rPr>
          <w:rFonts w:ascii="Times New Roman" w:hAnsi="Times New Roman" w:cs="Times New Roman"/>
          <w:sz w:val="24"/>
          <w:szCs w:val="24"/>
        </w:rPr>
        <w:t xml:space="preserve">hold </w:t>
      </w:r>
      <w:r>
        <w:rPr>
          <w:rFonts w:ascii="Times New Roman" w:hAnsi="Times New Roman" w:cs="Times New Roman"/>
          <w:sz w:val="24"/>
          <w:szCs w:val="24"/>
        </w:rPr>
        <w:t xml:space="preserve">at least </w:t>
      </w:r>
      <w:r w:rsidR="003E4242" w:rsidRPr="00B3221F">
        <w:rPr>
          <w:rFonts w:ascii="Times New Roman" w:hAnsi="Times New Roman" w:cs="Times New Roman"/>
          <w:sz w:val="24"/>
          <w:szCs w:val="24"/>
        </w:rPr>
        <w:t xml:space="preserve">51% </w:t>
      </w:r>
      <w:r>
        <w:rPr>
          <w:rFonts w:ascii="Times New Roman" w:hAnsi="Times New Roman" w:cs="Times New Roman"/>
          <w:sz w:val="24"/>
          <w:szCs w:val="24"/>
        </w:rPr>
        <w:t>o</w:t>
      </w:r>
      <w:r w:rsidR="003E4242" w:rsidRPr="00B3221F">
        <w:rPr>
          <w:rFonts w:ascii="Times New Roman" w:hAnsi="Times New Roman" w:cs="Times New Roman"/>
          <w:sz w:val="24"/>
          <w:szCs w:val="24"/>
        </w:rPr>
        <w:t>wnership of a qualifying company</w:t>
      </w:r>
      <w:r w:rsidR="00B3221F" w:rsidRPr="00B3221F">
        <w:rPr>
          <w:rFonts w:ascii="Times New Roman" w:hAnsi="Times New Roman" w:cs="Times New Roman"/>
          <w:sz w:val="24"/>
          <w:szCs w:val="24"/>
        </w:rPr>
        <w:t xml:space="preserve"> (or companies)</w:t>
      </w:r>
      <w:r w:rsidR="002F0C40">
        <w:rPr>
          <w:rFonts w:ascii="Times New Roman" w:hAnsi="Times New Roman" w:cs="Times New Roman"/>
          <w:sz w:val="24"/>
          <w:szCs w:val="24"/>
        </w:rPr>
        <w:t xml:space="preserve"> that</w:t>
      </w:r>
      <w:r w:rsidR="003E4242" w:rsidRPr="00B3221F">
        <w:rPr>
          <w:rFonts w:ascii="Times New Roman" w:hAnsi="Times New Roman" w:cs="Times New Roman"/>
          <w:sz w:val="24"/>
          <w:szCs w:val="24"/>
        </w:rPr>
        <w:t xml:space="preserve"> will undertake the fishing, </w:t>
      </w:r>
      <w:r w:rsidR="003E4242" w:rsidRPr="00D954C1">
        <w:rPr>
          <w:rFonts w:ascii="Times New Roman" w:hAnsi="Times New Roman" w:cs="Times New Roman"/>
          <w:i/>
          <w:sz w:val="24"/>
          <w:szCs w:val="24"/>
        </w:rPr>
        <w:t xml:space="preserve">or </w:t>
      </w:r>
      <w:r w:rsidR="00B3221F" w:rsidRPr="00B3221F">
        <w:rPr>
          <w:rFonts w:ascii="Times New Roman" w:hAnsi="Times New Roman" w:cs="Times New Roman"/>
          <w:sz w:val="24"/>
          <w:szCs w:val="24"/>
        </w:rPr>
        <w:t xml:space="preserve">have </w:t>
      </w:r>
      <w:r w:rsidR="003E4242" w:rsidRPr="00B3221F">
        <w:rPr>
          <w:rFonts w:ascii="Times New Roman" w:hAnsi="Times New Roman" w:cs="Times New Roman"/>
          <w:sz w:val="24"/>
          <w:szCs w:val="24"/>
        </w:rPr>
        <w:t>the capability to fish in their own right;</w:t>
      </w:r>
      <w:r w:rsidR="00B3221F" w:rsidRPr="00B3221F">
        <w:rPr>
          <w:rFonts w:ascii="Times New Roman" w:hAnsi="Times New Roman" w:cs="Times New Roman"/>
          <w:sz w:val="24"/>
          <w:szCs w:val="24"/>
        </w:rPr>
        <w:t xml:space="preserve"> and</w:t>
      </w:r>
    </w:p>
    <w:p w14:paraId="26965E2C" w14:textId="7FDB4AEE" w:rsidR="00B3221F" w:rsidRPr="00B3221F" w:rsidRDefault="00C564BA" w:rsidP="00753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w:t>
      </w:r>
      <w:r w:rsidR="00B3221F" w:rsidRPr="00B3221F">
        <w:rPr>
          <w:rFonts w:ascii="Times New Roman" w:hAnsi="Times New Roman" w:cs="Times New Roman"/>
          <w:sz w:val="24"/>
          <w:szCs w:val="24"/>
        </w:rPr>
        <w:t xml:space="preserve"> qualifying companies have a majority of directors who have Falkland Island status and are ordinarily resident in the Falkland Islands</w:t>
      </w:r>
      <w:r w:rsidR="00B576F7">
        <w:rPr>
          <w:rFonts w:ascii="Times New Roman" w:hAnsi="Times New Roman" w:cs="Times New Roman"/>
          <w:sz w:val="24"/>
          <w:szCs w:val="24"/>
        </w:rPr>
        <w:t xml:space="preserve"> or meet the criteria for corporate directors of a qualifying company</w:t>
      </w:r>
      <w:r w:rsidR="00EA2BC8">
        <w:rPr>
          <w:rFonts w:ascii="Times New Roman" w:hAnsi="Times New Roman" w:cs="Times New Roman"/>
          <w:sz w:val="24"/>
          <w:szCs w:val="24"/>
        </w:rPr>
        <w:t>;</w:t>
      </w:r>
      <w:r w:rsidR="00B3221F" w:rsidRPr="00B3221F">
        <w:rPr>
          <w:rFonts w:ascii="Times New Roman" w:hAnsi="Times New Roman" w:cs="Times New Roman"/>
          <w:sz w:val="24"/>
          <w:szCs w:val="24"/>
        </w:rPr>
        <w:t xml:space="preserve"> and</w:t>
      </w:r>
      <w:r w:rsidR="00B82614">
        <w:rPr>
          <w:rFonts w:ascii="Times New Roman" w:hAnsi="Times New Roman" w:cs="Times New Roman"/>
          <w:sz w:val="24"/>
          <w:szCs w:val="24"/>
        </w:rPr>
        <w:t xml:space="preserve"> </w:t>
      </w:r>
    </w:p>
    <w:p w14:paraId="480BB23B" w14:textId="552F01ED" w:rsidR="007B6BD5" w:rsidRPr="00B3221F" w:rsidRDefault="007B6BD5" w:rsidP="007B6B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are</w:t>
      </w:r>
      <w:r w:rsidRPr="00B3221F">
        <w:rPr>
          <w:rFonts w:ascii="Times New Roman" w:hAnsi="Times New Roman" w:cs="Times New Roman"/>
          <w:sz w:val="24"/>
          <w:szCs w:val="24"/>
        </w:rPr>
        <w:t xml:space="preserve"> a member of FIFCA</w:t>
      </w:r>
      <w:r>
        <w:rPr>
          <w:rFonts w:ascii="Times New Roman" w:hAnsi="Times New Roman" w:cs="Times New Roman"/>
          <w:sz w:val="24"/>
          <w:szCs w:val="24"/>
        </w:rPr>
        <w:t>,</w:t>
      </w:r>
      <w:r w:rsidRPr="00C564BA">
        <w:rPr>
          <w:rFonts w:ascii="Times New Roman" w:hAnsi="Times New Roman" w:cs="Times New Roman"/>
          <w:sz w:val="24"/>
          <w:szCs w:val="24"/>
        </w:rPr>
        <w:t xml:space="preserve"> </w:t>
      </w:r>
      <w:r>
        <w:rPr>
          <w:rFonts w:ascii="Times New Roman" w:hAnsi="Times New Roman" w:cs="Times New Roman"/>
          <w:sz w:val="24"/>
          <w:szCs w:val="24"/>
        </w:rPr>
        <w:t>thereby linking each company to the FIG-FIFCA Accord and Action Plan; and</w:t>
      </w:r>
      <w:r w:rsidR="00B82614">
        <w:rPr>
          <w:rFonts w:ascii="Times New Roman" w:hAnsi="Times New Roman" w:cs="Times New Roman"/>
          <w:sz w:val="24"/>
          <w:szCs w:val="24"/>
        </w:rPr>
        <w:t xml:space="preserve">  </w:t>
      </w:r>
    </w:p>
    <w:p w14:paraId="6A115A62" w14:textId="260322C7" w:rsidR="00B3221F" w:rsidRPr="007B6BD5" w:rsidRDefault="00C564BA" w:rsidP="00753776">
      <w:pPr>
        <w:pStyle w:val="ListParagraph"/>
        <w:numPr>
          <w:ilvl w:val="0"/>
          <w:numId w:val="1"/>
        </w:numPr>
        <w:rPr>
          <w:rFonts w:ascii="Times New Roman" w:hAnsi="Times New Roman" w:cs="Times New Roman"/>
          <w:b/>
          <w:sz w:val="24"/>
          <w:szCs w:val="24"/>
        </w:rPr>
      </w:pPr>
      <w:r w:rsidRPr="007B6BD5">
        <w:rPr>
          <w:rFonts w:ascii="Times New Roman" w:hAnsi="Times New Roman" w:cs="Times New Roman"/>
          <w:b/>
          <w:sz w:val="24"/>
          <w:szCs w:val="24"/>
        </w:rPr>
        <w:t xml:space="preserve">they </w:t>
      </w:r>
      <w:r w:rsidR="00B3221F" w:rsidRPr="007B6BD5">
        <w:rPr>
          <w:rFonts w:ascii="Times New Roman" w:hAnsi="Times New Roman" w:cs="Times New Roman"/>
          <w:b/>
          <w:sz w:val="24"/>
          <w:szCs w:val="24"/>
        </w:rPr>
        <w:t>have an</w:t>
      </w:r>
      <w:r w:rsidR="003E4242" w:rsidRPr="007B6BD5">
        <w:rPr>
          <w:rFonts w:ascii="Times New Roman" w:hAnsi="Times New Roman" w:cs="Times New Roman"/>
          <w:b/>
          <w:sz w:val="24"/>
          <w:szCs w:val="24"/>
        </w:rPr>
        <w:t xml:space="preserve"> action plan in place, that is approved by the Director of Natural Resources</w:t>
      </w:r>
      <w:r w:rsidR="007B6BD5" w:rsidRPr="007B6BD5">
        <w:rPr>
          <w:rFonts w:ascii="Times New Roman" w:hAnsi="Times New Roman" w:cs="Times New Roman"/>
          <w:b/>
          <w:sz w:val="24"/>
          <w:szCs w:val="24"/>
        </w:rPr>
        <w:t>.</w:t>
      </w:r>
    </w:p>
    <w:p w14:paraId="2E4BC396" w14:textId="7EA575D0" w:rsidR="007B55F0" w:rsidRDefault="00B82614" w:rsidP="007B55F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55F0">
        <w:rPr>
          <w:rFonts w:ascii="Times New Roman" w:hAnsi="Times New Roman" w:cs="Times New Roman"/>
          <w:sz w:val="24"/>
          <w:szCs w:val="24"/>
        </w:rPr>
        <w:t xml:space="preserve"> </w:t>
      </w:r>
    </w:p>
    <w:p w14:paraId="47B68B92" w14:textId="77777777" w:rsidR="007B55F0" w:rsidRDefault="007B55F0" w:rsidP="007B55F0">
      <w:pPr>
        <w:rPr>
          <w:rFonts w:ascii="Times New Roman" w:hAnsi="Times New Roman" w:cs="Times New Roman"/>
          <w:sz w:val="24"/>
          <w:szCs w:val="24"/>
        </w:rPr>
      </w:pPr>
      <w:r>
        <w:rPr>
          <w:rFonts w:ascii="Times New Roman" w:hAnsi="Times New Roman" w:cs="Times New Roman"/>
          <w:sz w:val="24"/>
          <w:szCs w:val="24"/>
        </w:rPr>
        <w:t xml:space="preserve">Applications for ITQ B eligibility must be supported by an approved action plan. </w:t>
      </w:r>
    </w:p>
    <w:p w14:paraId="673785AA" w14:textId="11BE9984" w:rsidR="007B55F0" w:rsidRDefault="007B55F0" w:rsidP="007B55F0">
      <w:pPr>
        <w:rPr>
          <w:rFonts w:ascii="Times New Roman" w:hAnsi="Times New Roman" w:cs="Times New Roman"/>
          <w:sz w:val="24"/>
          <w:szCs w:val="24"/>
        </w:rPr>
      </w:pPr>
      <w:r>
        <w:rPr>
          <w:rFonts w:ascii="Times New Roman" w:hAnsi="Times New Roman" w:cs="Times New Roman"/>
          <w:sz w:val="24"/>
          <w:szCs w:val="24"/>
        </w:rPr>
        <w:t>The Department of Natural Resources will operate a process by which action plans are approved</w:t>
      </w:r>
      <w:r w:rsidR="00BF6DB9">
        <w:rPr>
          <w:rFonts w:ascii="Times New Roman" w:hAnsi="Times New Roman" w:cs="Times New Roman"/>
          <w:sz w:val="24"/>
          <w:szCs w:val="24"/>
        </w:rPr>
        <w:t xml:space="preserve">. This process </w:t>
      </w:r>
      <w:r>
        <w:rPr>
          <w:rFonts w:ascii="Times New Roman" w:hAnsi="Times New Roman" w:cs="Times New Roman"/>
          <w:sz w:val="24"/>
          <w:szCs w:val="24"/>
        </w:rPr>
        <w:t>will be completed ahead of the deadline by which application</w:t>
      </w:r>
      <w:r w:rsidR="009E05B2">
        <w:rPr>
          <w:rFonts w:ascii="Times New Roman" w:hAnsi="Times New Roman" w:cs="Times New Roman"/>
          <w:sz w:val="24"/>
          <w:szCs w:val="24"/>
        </w:rPr>
        <w:t>s</w:t>
      </w:r>
      <w:r>
        <w:rPr>
          <w:rFonts w:ascii="Times New Roman" w:hAnsi="Times New Roman" w:cs="Times New Roman"/>
          <w:sz w:val="24"/>
          <w:szCs w:val="24"/>
        </w:rPr>
        <w:t xml:space="preserve"> for ITQ B eligibility and ownership must be submitted.</w:t>
      </w:r>
    </w:p>
    <w:p w14:paraId="25061E47" w14:textId="69B99A31" w:rsidR="003E4242" w:rsidRPr="003E4242" w:rsidRDefault="00C564BA" w:rsidP="00C564BA">
      <w:pPr>
        <w:rPr>
          <w:rFonts w:ascii="Times New Roman" w:hAnsi="Times New Roman" w:cs="Times New Roman"/>
          <w:sz w:val="24"/>
          <w:szCs w:val="24"/>
        </w:rPr>
      </w:pPr>
      <w:r w:rsidRPr="002D63F8">
        <w:rPr>
          <w:rFonts w:ascii="Times New Roman" w:hAnsi="Times New Roman" w:cs="Times New Roman"/>
          <w:sz w:val="24"/>
          <w:szCs w:val="24"/>
        </w:rPr>
        <w:t>An action plan must have been approved by the Director before the initial application for ITQ B eligibility</w:t>
      </w:r>
      <w:r w:rsidR="007B55F0">
        <w:rPr>
          <w:rFonts w:ascii="Times New Roman" w:hAnsi="Times New Roman" w:cs="Times New Roman"/>
          <w:sz w:val="24"/>
          <w:szCs w:val="24"/>
        </w:rPr>
        <w:t xml:space="preserve"> is made</w:t>
      </w:r>
      <w:r w:rsidRPr="002D63F8">
        <w:rPr>
          <w:rFonts w:ascii="Times New Roman" w:hAnsi="Times New Roman" w:cs="Times New Roman"/>
          <w:sz w:val="24"/>
          <w:szCs w:val="24"/>
        </w:rPr>
        <w:t xml:space="preserve">, but </w:t>
      </w:r>
      <w:r>
        <w:rPr>
          <w:rFonts w:ascii="Times New Roman" w:hAnsi="Times New Roman" w:cs="Times New Roman"/>
          <w:sz w:val="24"/>
          <w:szCs w:val="24"/>
        </w:rPr>
        <w:t>it will</w:t>
      </w:r>
      <w:r w:rsidRPr="002D63F8">
        <w:rPr>
          <w:rFonts w:ascii="Times New Roman" w:hAnsi="Times New Roman" w:cs="Times New Roman"/>
          <w:sz w:val="24"/>
          <w:szCs w:val="24"/>
        </w:rPr>
        <w:t xml:space="preserve"> not come into effect until ITQ B eligibility is granted.</w:t>
      </w:r>
      <w:r w:rsidR="00B82614">
        <w:rPr>
          <w:rFonts w:ascii="Times New Roman" w:hAnsi="Times New Roman" w:cs="Times New Roman"/>
          <w:sz w:val="24"/>
          <w:szCs w:val="24"/>
        </w:rPr>
        <w:t xml:space="preserve"> </w:t>
      </w:r>
    </w:p>
    <w:p w14:paraId="7043E95F" w14:textId="3F56C621" w:rsidR="00616E89" w:rsidRPr="007B55F0" w:rsidRDefault="007B55F0">
      <w:pPr>
        <w:rPr>
          <w:rFonts w:ascii="Times New Roman" w:hAnsi="Times New Roman" w:cs="Times New Roman"/>
          <w:sz w:val="24"/>
          <w:szCs w:val="24"/>
        </w:rPr>
      </w:pPr>
      <w:r w:rsidRPr="007B55F0">
        <w:rPr>
          <w:rFonts w:ascii="Times New Roman" w:hAnsi="Times New Roman" w:cs="Times New Roman"/>
          <w:sz w:val="24"/>
          <w:szCs w:val="24"/>
        </w:rPr>
        <w:t>Full</w:t>
      </w:r>
      <w:r>
        <w:rPr>
          <w:rFonts w:ascii="Times New Roman" w:hAnsi="Times New Roman" w:cs="Times New Roman"/>
          <w:sz w:val="24"/>
          <w:szCs w:val="24"/>
        </w:rPr>
        <w:t xml:space="preserve"> details of the application process for ITQ B eligibility and ownership are contained in </w:t>
      </w:r>
      <w:r w:rsidRPr="007B55F0">
        <w:rPr>
          <w:rFonts w:ascii="Times New Roman" w:hAnsi="Times New Roman" w:cs="Times New Roman"/>
          <w:i/>
          <w:sz w:val="24"/>
          <w:szCs w:val="24"/>
        </w:rPr>
        <w:t>‘Guidance on ITQ B applications’</w:t>
      </w:r>
      <w:r>
        <w:rPr>
          <w:rFonts w:ascii="Times New Roman" w:hAnsi="Times New Roman" w:cs="Times New Roman"/>
          <w:sz w:val="24"/>
          <w:szCs w:val="24"/>
        </w:rPr>
        <w:t xml:space="preserve"> issued by the Department for Natural Resources.</w:t>
      </w:r>
    </w:p>
    <w:p w14:paraId="0A90899C" w14:textId="77777777" w:rsidR="007B55F0" w:rsidRDefault="007B55F0" w:rsidP="00C564BA">
      <w:pPr>
        <w:rPr>
          <w:rFonts w:ascii="Times New Roman" w:hAnsi="Times New Roman" w:cs="Times New Roman"/>
          <w:b/>
          <w:sz w:val="24"/>
          <w:szCs w:val="24"/>
        </w:rPr>
      </w:pPr>
    </w:p>
    <w:p w14:paraId="1DDFE992" w14:textId="245C78BC" w:rsidR="00C564BA" w:rsidRPr="00C564BA" w:rsidRDefault="00C564BA" w:rsidP="00C564BA">
      <w:pPr>
        <w:rPr>
          <w:rFonts w:ascii="Times New Roman" w:hAnsi="Times New Roman" w:cs="Times New Roman"/>
          <w:b/>
          <w:sz w:val="24"/>
          <w:szCs w:val="24"/>
        </w:rPr>
      </w:pPr>
      <w:r w:rsidRPr="00C564BA">
        <w:rPr>
          <w:rFonts w:ascii="Times New Roman" w:hAnsi="Times New Roman" w:cs="Times New Roman"/>
          <w:b/>
          <w:sz w:val="24"/>
          <w:szCs w:val="24"/>
        </w:rPr>
        <w:t>How action plans are drawn up and approved</w:t>
      </w:r>
    </w:p>
    <w:p w14:paraId="5035D1BF" w14:textId="7A7D5F3F" w:rsidR="0021053B" w:rsidRDefault="00B3221F">
      <w:pPr>
        <w:rPr>
          <w:rFonts w:ascii="Times New Roman" w:hAnsi="Times New Roman" w:cs="Times New Roman"/>
          <w:sz w:val="24"/>
          <w:szCs w:val="24"/>
        </w:rPr>
      </w:pPr>
      <w:r w:rsidRPr="002D63F8">
        <w:rPr>
          <w:rFonts w:ascii="Times New Roman" w:hAnsi="Times New Roman" w:cs="Times New Roman"/>
          <w:sz w:val="24"/>
          <w:szCs w:val="24"/>
        </w:rPr>
        <w:t xml:space="preserve">The </w:t>
      </w:r>
      <w:r w:rsidR="00AA1E1F" w:rsidRPr="002D63F8">
        <w:rPr>
          <w:rFonts w:ascii="Times New Roman" w:hAnsi="Times New Roman" w:cs="Times New Roman"/>
          <w:sz w:val="24"/>
          <w:szCs w:val="24"/>
        </w:rPr>
        <w:t xml:space="preserve">Director will </w:t>
      </w:r>
      <w:r w:rsidR="0021053B">
        <w:rPr>
          <w:rFonts w:ascii="Times New Roman" w:hAnsi="Times New Roman" w:cs="Times New Roman"/>
          <w:sz w:val="24"/>
          <w:szCs w:val="24"/>
        </w:rPr>
        <w:t xml:space="preserve">ask all </w:t>
      </w:r>
      <w:r w:rsidR="00D13618">
        <w:rPr>
          <w:rFonts w:ascii="Times New Roman" w:hAnsi="Times New Roman" w:cs="Times New Roman"/>
          <w:sz w:val="24"/>
          <w:szCs w:val="24"/>
        </w:rPr>
        <w:t xml:space="preserve">existing </w:t>
      </w:r>
      <w:r w:rsidR="0021053B">
        <w:rPr>
          <w:rFonts w:ascii="Times New Roman" w:hAnsi="Times New Roman" w:cs="Times New Roman"/>
          <w:sz w:val="24"/>
          <w:szCs w:val="24"/>
        </w:rPr>
        <w:t xml:space="preserve">ITQ </w:t>
      </w:r>
      <w:r w:rsidR="00D13618">
        <w:rPr>
          <w:rFonts w:ascii="Times New Roman" w:hAnsi="Times New Roman" w:cs="Times New Roman"/>
          <w:sz w:val="24"/>
          <w:szCs w:val="24"/>
        </w:rPr>
        <w:t xml:space="preserve">A </w:t>
      </w:r>
      <w:r w:rsidR="0021053B">
        <w:rPr>
          <w:rFonts w:ascii="Times New Roman" w:hAnsi="Times New Roman" w:cs="Times New Roman"/>
          <w:sz w:val="24"/>
          <w:szCs w:val="24"/>
        </w:rPr>
        <w:t xml:space="preserve">eligible companies </w:t>
      </w:r>
      <w:r w:rsidR="00036355">
        <w:rPr>
          <w:rFonts w:ascii="Times New Roman" w:hAnsi="Times New Roman" w:cs="Times New Roman"/>
          <w:sz w:val="24"/>
          <w:szCs w:val="24"/>
        </w:rPr>
        <w:t xml:space="preserve">to indicate if this wish to agree an action plan. This will generally indicate an intention </w:t>
      </w:r>
      <w:r w:rsidR="0021053B">
        <w:rPr>
          <w:rFonts w:ascii="Times New Roman" w:hAnsi="Times New Roman" w:cs="Times New Roman"/>
          <w:sz w:val="24"/>
          <w:szCs w:val="24"/>
        </w:rPr>
        <w:t xml:space="preserve">to apply for ITQ </w:t>
      </w:r>
      <w:r w:rsidR="00D13618">
        <w:rPr>
          <w:rFonts w:ascii="Times New Roman" w:hAnsi="Times New Roman" w:cs="Times New Roman"/>
          <w:sz w:val="24"/>
          <w:szCs w:val="24"/>
        </w:rPr>
        <w:t xml:space="preserve">B </w:t>
      </w:r>
      <w:r w:rsidR="0021053B">
        <w:rPr>
          <w:rFonts w:ascii="Times New Roman" w:hAnsi="Times New Roman" w:cs="Times New Roman"/>
          <w:sz w:val="24"/>
          <w:szCs w:val="24"/>
        </w:rPr>
        <w:t xml:space="preserve">eligibility, </w:t>
      </w:r>
      <w:r w:rsidR="00036355">
        <w:rPr>
          <w:rFonts w:ascii="Times New Roman" w:hAnsi="Times New Roman" w:cs="Times New Roman"/>
          <w:sz w:val="24"/>
          <w:szCs w:val="24"/>
        </w:rPr>
        <w:t xml:space="preserve">but that will </w:t>
      </w:r>
      <w:r w:rsidR="0021053B">
        <w:rPr>
          <w:rFonts w:ascii="Times New Roman" w:hAnsi="Times New Roman" w:cs="Times New Roman"/>
          <w:sz w:val="24"/>
          <w:szCs w:val="24"/>
        </w:rPr>
        <w:t xml:space="preserve">not </w:t>
      </w:r>
      <w:r w:rsidR="00036355">
        <w:rPr>
          <w:rFonts w:ascii="Times New Roman" w:hAnsi="Times New Roman" w:cs="Times New Roman"/>
          <w:sz w:val="24"/>
          <w:szCs w:val="24"/>
        </w:rPr>
        <w:t xml:space="preserve">be </w:t>
      </w:r>
      <w:r w:rsidR="0021053B">
        <w:rPr>
          <w:rFonts w:ascii="Times New Roman" w:hAnsi="Times New Roman" w:cs="Times New Roman"/>
          <w:sz w:val="24"/>
          <w:szCs w:val="24"/>
        </w:rPr>
        <w:t>binding</w:t>
      </w:r>
      <w:r w:rsidR="00036355">
        <w:rPr>
          <w:rFonts w:ascii="Times New Roman" w:hAnsi="Times New Roman" w:cs="Times New Roman"/>
          <w:sz w:val="24"/>
          <w:szCs w:val="24"/>
        </w:rPr>
        <w:t xml:space="preserve"> at this stage.</w:t>
      </w:r>
    </w:p>
    <w:p w14:paraId="1EFA9964" w14:textId="2633C89F" w:rsidR="00AA1E1F" w:rsidRPr="002D63F8" w:rsidRDefault="0021053B">
      <w:pPr>
        <w:rPr>
          <w:rFonts w:ascii="Times New Roman" w:hAnsi="Times New Roman" w:cs="Times New Roman"/>
          <w:sz w:val="24"/>
          <w:szCs w:val="24"/>
        </w:rPr>
      </w:pPr>
      <w:r>
        <w:rPr>
          <w:rFonts w:ascii="Times New Roman" w:hAnsi="Times New Roman" w:cs="Times New Roman"/>
          <w:sz w:val="24"/>
          <w:szCs w:val="24"/>
        </w:rPr>
        <w:t xml:space="preserve">The Director will then </w:t>
      </w:r>
      <w:r w:rsidR="00AA1E1F" w:rsidRPr="002D63F8">
        <w:rPr>
          <w:rFonts w:ascii="Times New Roman" w:hAnsi="Times New Roman" w:cs="Times New Roman"/>
          <w:sz w:val="24"/>
          <w:szCs w:val="24"/>
        </w:rPr>
        <w:t xml:space="preserve">produce action plans </w:t>
      </w:r>
      <w:r w:rsidR="007B55F0">
        <w:rPr>
          <w:rFonts w:ascii="Times New Roman" w:hAnsi="Times New Roman" w:cs="Times New Roman"/>
          <w:sz w:val="24"/>
          <w:szCs w:val="24"/>
        </w:rPr>
        <w:t xml:space="preserve">for </w:t>
      </w:r>
      <w:r>
        <w:rPr>
          <w:rFonts w:ascii="Times New Roman" w:hAnsi="Times New Roman" w:cs="Times New Roman"/>
          <w:sz w:val="24"/>
          <w:szCs w:val="24"/>
        </w:rPr>
        <w:t xml:space="preserve">each </w:t>
      </w:r>
      <w:r w:rsidR="00036355">
        <w:rPr>
          <w:rFonts w:ascii="Times New Roman" w:hAnsi="Times New Roman" w:cs="Times New Roman"/>
          <w:sz w:val="24"/>
          <w:szCs w:val="24"/>
        </w:rPr>
        <w:t>company that has requested one</w:t>
      </w:r>
      <w:r w:rsidR="007B55F0">
        <w:rPr>
          <w:rFonts w:ascii="Times New Roman" w:hAnsi="Times New Roman" w:cs="Times New Roman"/>
          <w:sz w:val="24"/>
          <w:szCs w:val="24"/>
        </w:rPr>
        <w:t xml:space="preserve"> </w:t>
      </w:r>
      <w:r w:rsidR="00AA1E1F" w:rsidRPr="002D63F8">
        <w:rPr>
          <w:rFonts w:ascii="Times New Roman" w:hAnsi="Times New Roman" w:cs="Times New Roman"/>
          <w:sz w:val="24"/>
          <w:szCs w:val="24"/>
        </w:rPr>
        <w:t>using a standard template</w:t>
      </w:r>
      <w:r w:rsidR="00BF6DB9">
        <w:rPr>
          <w:rFonts w:ascii="Times New Roman" w:hAnsi="Times New Roman" w:cs="Times New Roman"/>
          <w:sz w:val="24"/>
          <w:szCs w:val="24"/>
        </w:rPr>
        <w:t xml:space="preserve">, which is </w:t>
      </w:r>
      <w:r w:rsidR="00BA55B3">
        <w:rPr>
          <w:rFonts w:ascii="Times New Roman" w:hAnsi="Times New Roman" w:cs="Times New Roman"/>
          <w:sz w:val="24"/>
          <w:szCs w:val="24"/>
        </w:rPr>
        <w:t>included as an annex to this guidance</w:t>
      </w:r>
      <w:r w:rsidR="00797DF7" w:rsidRPr="002D63F8">
        <w:rPr>
          <w:rFonts w:ascii="Times New Roman" w:hAnsi="Times New Roman" w:cs="Times New Roman"/>
          <w:sz w:val="24"/>
          <w:szCs w:val="24"/>
        </w:rPr>
        <w:t>.</w:t>
      </w:r>
      <w:r w:rsidR="007B55F0">
        <w:rPr>
          <w:rFonts w:ascii="Times New Roman" w:hAnsi="Times New Roman" w:cs="Times New Roman"/>
          <w:sz w:val="24"/>
          <w:szCs w:val="24"/>
        </w:rPr>
        <w:t xml:space="preserve"> The template </w:t>
      </w:r>
      <w:r w:rsidR="00BF6DB9">
        <w:rPr>
          <w:rFonts w:ascii="Times New Roman" w:hAnsi="Times New Roman" w:cs="Times New Roman"/>
          <w:sz w:val="24"/>
          <w:szCs w:val="24"/>
        </w:rPr>
        <w:t>has been developed in consultation with the industry.</w:t>
      </w:r>
      <w:r w:rsidR="00B82614">
        <w:rPr>
          <w:rFonts w:ascii="Times New Roman" w:hAnsi="Times New Roman" w:cs="Times New Roman"/>
          <w:sz w:val="24"/>
          <w:szCs w:val="24"/>
        </w:rPr>
        <w:t xml:space="preserve"> </w:t>
      </w:r>
    </w:p>
    <w:p w14:paraId="0EDB5D9C" w14:textId="33079121" w:rsidR="00AA1E1F" w:rsidRPr="002D63F8" w:rsidRDefault="00B3221F">
      <w:pPr>
        <w:rPr>
          <w:rFonts w:ascii="Times New Roman" w:hAnsi="Times New Roman" w:cs="Times New Roman"/>
          <w:sz w:val="24"/>
          <w:szCs w:val="24"/>
        </w:rPr>
      </w:pPr>
      <w:r w:rsidRPr="002D63F8">
        <w:rPr>
          <w:rFonts w:ascii="Times New Roman" w:hAnsi="Times New Roman" w:cs="Times New Roman"/>
          <w:sz w:val="24"/>
          <w:szCs w:val="24"/>
        </w:rPr>
        <w:t xml:space="preserve">The </w:t>
      </w:r>
      <w:r w:rsidR="00BF6DB9">
        <w:rPr>
          <w:rFonts w:ascii="Times New Roman" w:hAnsi="Times New Roman" w:cs="Times New Roman"/>
          <w:sz w:val="24"/>
          <w:szCs w:val="24"/>
        </w:rPr>
        <w:t xml:space="preserve">Director will send the proposed action plan to the </w:t>
      </w:r>
      <w:r w:rsidRPr="002D63F8">
        <w:rPr>
          <w:rFonts w:ascii="Times New Roman" w:hAnsi="Times New Roman" w:cs="Times New Roman"/>
          <w:sz w:val="24"/>
          <w:szCs w:val="24"/>
        </w:rPr>
        <w:t>c</w:t>
      </w:r>
      <w:r w:rsidR="00AA1E1F" w:rsidRPr="002D63F8">
        <w:rPr>
          <w:rFonts w:ascii="Times New Roman" w:hAnsi="Times New Roman" w:cs="Times New Roman"/>
          <w:sz w:val="24"/>
          <w:szCs w:val="24"/>
        </w:rPr>
        <w:t>ompany</w:t>
      </w:r>
      <w:r w:rsidR="002B23E9">
        <w:rPr>
          <w:rFonts w:ascii="Times New Roman" w:hAnsi="Times New Roman" w:cs="Times New Roman"/>
          <w:sz w:val="24"/>
          <w:szCs w:val="24"/>
        </w:rPr>
        <w:t>,</w:t>
      </w:r>
      <w:r w:rsidR="00AA1E1F" w:rsidRPr="002D63F8">
        <w:rPr>
          <w:rFonts w:ascii="Times New Roman" w:hAnsi="Times New Roman" w:cs="Times New Roman"/>
          <w:sz w:val="24"/>
          <w:szCs w:val="24"/>
        </w:rPr>
        <w:t xml:space="preserve"> </w:t>
      </w:r>
      <w:r w:rsidR="00BF6DB9">
        <w:rPr>
          <w:rFonts w:ascii="Times New Roman" w:hAnsi="Times New Roman" w:cs="Times New Roman"/>
          <w:sz w:val="24"/>
          <w:szCs w:val="24"/>
        </w:rPr>
        <w:t xml:space="preserve">who </w:t>
      </w:r>
      <w:r w:rsidR="00AA1E1F" w:rsidRPr="002D63F8">
        <w:rPr>
          <w:rFonts w:ascii="Times New Roman" w:hAnsi="Times New Roman" w:cs="Times New Roman"/>
          <w:sz w:val="24"/>
          <w:szCs w:val="24"/>
        </w:rPr>
        <w:t>will have opportunity to</w:t>
      </w:r>
      <w:r w:rsidR="00BF6DB9">
        <w:rPr>
          <w:rFonts w:ascii="Times New Roman" w:hAnsi="Times New Roman" w:cs="Times New Roman"/>
          <w:sz w:val="24"/>
          <w:szCs w:val="24"/>
        </w:rPr>
        <w:t xml:space="preserve"> seek clarification, to</w:t>
      </w:r>
      <w:r w:rsidR="00AA1E1F" w:rsidRPr="002D63F8">
        <w:rPr>
          <w:rFonts w:ascii="Times New Roman" w:hAnsi="Times New Roman" w:cs="Times New Roman"/>
          <w:sz w:val="24"/>
          <w:szCs w:val="24"/>
        </w:rPr>
        <w:t xml:space="preserve"> comment and </w:t>
      </w:r>
      <w:r w:rsidR="00BF6DB9">
        <w:rPr>
          <w:rFonts w:ascii="Times New Roman" w:hAnsi="Times New Roman" w:cs="Times New Roman"/>
          <w:sz w:val="24"/>
          <w:szCs w:val="24"/>
        </w:rPr>
        <w:t xml:space="preserve">to </w:t>
      </w:r>
      <w:r w:rsidR="00AA1E1F" w:rsidRPr="002D63F8">
        <w:rPr>
          <w:rFonts w:ascii="Times New Roman" w:hAnsi="Times New Roman" w:cs="Times New Roman"/>
          <w:sz w:val="24"/>
          <w:szCs w:val="24"/>
        </w:rPr>
        <w:t xml:space="preserve">suggest </w:t>
      </w:r>
      <w:r w:rsidR="00BF6DB9">
        <w:rPr>
          <w:rFonts w:ascii="Times New Roman" w:hAnsi="Times New Roman" w:cs="Times New Roman"/>
          <w:sz w:val="24"/>
          <w:szCs w:val="24"/>
        </w:rPr>
        <w:t xml:space="preserve">any </w:t>
      </w:r>
      <w:r w:rsidR="00AA1E1F" w:rsidRPr="002D63F8">
        <w:rPr>
          <w:rFonts w:ascii="Times New Roman" w:hAnsi="Times New Roman" w:cs="Times New Roman"/>
          <w:sz w:val="24"/>
          <w:szCs w:val="24"/>
        </w:rPr>
        <w:t>changes</w:t>
      </w:r>
      <w:r w:rsidR="00BF6DB9">
        <w:rPr>
          <w:rFonts w:ascii="Times New Roman" w:hAnsi="Times New Roman" w:cs="Times New Roman"/>
          <w:sz w:val="24"/>
          <w:szCs w:val="24"/>
        </w:rPr>
        <w:t xml:space="preserve"> they would like to be made</w:t>
      </w:r>
      <w:r w:rsidR="00AA1E1F" w:rsidRPr="002D63F8">
        <w:rPr>
          <w:rFonts w:ascii="Times New Roman" w:hAnsi="Times New Roman" w:cs="Times New Roman"/>
          <w:sz w:val="24"/>
          <w:szCs w:val="24"/>
        </w:rPr>
        <w:t>.</w:t>
      </w:r>
    </w:p>
    <w:p w14:paraId="10A2D9B4" w14:textId="6B798987" w:rsidR="00AA1E1F" w:rsidRDefault="00B3221F">
      <w:pPr>
        <w:rPr>
          <w:rFonts w:ascii="Times New Roman" w:hAnsi="Times New Roman" w:cs="Times New Roman"/>
          <w:sz w:val="24"/>
          <w:szCs w:val="24"/>
        </w:rPr>
      </w:pPr>
      <w:r w:rsidRPr="002D63F8">
        <w:rPr>
          <w:rFonts w:ascii="Times New Roman" w:hAnsi="Times New Roman" w:cs="Times New Roman"/>
          <w:sz w:val="24"/>
          <w:szCs w:val="24"/>
        </w:rPr>
        <w:t xml:space="preserve">The </w:t>
      </w:r>
      <w:r w:rsidR="008A1BB6" w:rsidRPr="002D63F8">
        <w:rPr>
          <w:rFonts w:ascii="Times New Roman" w:hAnsi="Times New Roman" w:cs="Times New Roman"/>
          <w:sz w:val="24"/>
          <w:szCs w:val="24"/>
        </w:rPr>
        <w:t>Director</w:t>
      </w:r>
      <w:r w:rsidR="00AA1E1F" w:rsidRPr="002D63F8">
        <w:rPr>
          <w:rFonts w:ascii="Times New Roman" w:hAnsi="Times New Roman" w:cs="Times New Roman"/>
          <w:sz w:val="24"/>
          <w:szCs w:val="24"/>
        </w:rPr>
        <w:t xml:space="preserve"> </w:t>
      </w:r>
      <w:r w:rsidR="00BF6DB9">
        <w:rPr>
          <w:rFonts w:ascii="Times New Roman" w:hAnsi="Times New Roman" w:cs="Times New Roman"/>
          <w:sz w:val="24"/>
          <w:szCs w:val="24"/>
        </w:rPr>
        <w:t xml:space="preserve">will consider any proposals made by companies to amend their action plan </w:t>
      </w:r>
      <w:r w:rsidR="00B57CD5">
        <w:rPr>
          <w:rFonts w:ascii="Times New Roman" w:hAnsi="Times New Roman" w:cs="Times New Roman"/>
          <w:sz w:val="24"/>
          <w:szCs w:val="24"/>
        </w:rPr>
        <w:t>and will seek to reach agreement</w:t>
      </w:r>
      <w:r w:rsidR="00403F31">
        <w:rPr>
          <w:rFonts w:ascii="Times New Roman" w:hAnsi="Times New Roman" w:cs="Times New Roman"/>
          <w:sz w:val="24"/>
          <w:szCs w:val="24"/>
        </w:rPr>
        <w:t>,</w:t>
      </w:r>
      <w:r w:rsidR="00B57CD5">
        <w:rPr>
          <w:rFonts w:ascii="Times New Roman" w:hAnsi="Times New Roman" w:cs="Times New Roman"/>
          <w:sz w:val="24"/>
          <w:szCs w:val="24"/>
        </w:rPr>
        <w:t xml:space="preserve"> </w:t>
      </w:r>
      <w:r w:rsidR="00BF6DB9">
        <w:rPr>
          <w:rFonts w:ascii="Times New Roman" w:hAnsi="Times New Roman" w:cs="Times New Roman"/>
          <w:sz w:val="24"/>
          <w:szCs w:val="24"/>
        </w:rPr>
        <w:t xml:space="preserve">but will </w:t>
      </w:r>
      <w:r w:rsidR="00AA1E1F" w:rsidRPr="002D63F8">
        <w:rPr>
          <w:rFonts w:ascii="Times New Roman" w:hAnsi="Times New Roman" w:cs="Times New Roman"/>
          <w:sz w:val="24"/>
          <w:szCs w:val="24"/>
        </w:rPr>
        <w:t>ha</w:t>
      </w:r>
      <w:r w:rsidR="00BF6DB9">
        <w:rPr>
          <w:rFonts w:ascii="Times New Roman" w:hAnsi="Times New Roman" w:cs="Times New Roman"/>
          <w:sz w:val="24"/>
          <w:szCs w:val="24"/>
        </w:rPr>
        <w:t>ve the</w:t>
      </w:r>
      <w:r w:rsidR="00AA1E1F" w:rsidRPr="002D63F8">
        <w:rPr>
          <w:rFonts w:ascii="Times New Roman" w:hAnsi="Times New Roman" w:cs="Times New Roman"/>
          <w:sz w:val="24"/>
          <w:szCs w:val="24"/>
        </w:rPr>
        <w:t xml:space="preserve"> final say</w:t>
      </w:r>
      <w:r w:rsidR="00CF5EB6">
        <w:rPr>
          <w:rFonts w:ascii="Times New Roman" w:hAnsi="Times New Roman" w:cs="Times New Roman"/>
          <w:sz w:val="24"/>
          <w:szCs w:val="24"/>
        </w:rPr>
        <w:t xml:space="preserve"> (subject to the outcome of any </w:t>
      </w:r>
      <w:proofErr w:type="spellStart"/>
      <w:r w:rsidR="00CF5EB6">
        <w:rPr>
          <w:rFonts w:ascii="Times New Roman" w:hAnsi="Times New Roman" w:cs="Times New Roman"/>
          <w:sz w:val="24"/>
          <w:szCs w:val="24"/>
        </w:rPr>
        <w:t>ExCo</w:t>
      </w:r>
      <w:proofErr w:type="spellEnd"/>
      <w:r w:rsidR="00CF5EB6">
        <w:rPr>
          <w:rFonts w:ascii="Times New Roman" w:hAnsi="Times New Roman" w:cs="Times New Roman"/>
          <w:sz w:val="24"/>
          <w:szCs w:val="24"/>
        </w:rPr>
        <w:t xml:space="preserve"> appeal)</w:t>
      </w:r>
      <w:r w:rsidR="00AA1E1F" w:rsidRPr="002D63F8">
        <w:rPr>
          <w:rFonts w:ascii="Times New Roman" w:hAnsi="Times New Roman" w:cs="Times New Roman"/>
          <w:sz w:val="24"/>
          <w:szCs w:val="24"/>
        </w:rPr>
        <w:t xml:space="preserve"> over </w:t>
      </w:r>
      <w:r w:rsidR="00403F31">
        <w:rPr>
          <w:rFonts w:ascii="Times New Roman" w:hAnsi="Times New Roman" w:cs="Times New Roman"/>
          <w:sz w:val="24"/>
          <w:szCs w:val="24"/>
        </w:rPr>
        <w:t xml:space="preserve">the </w:t>
      </w:r>
      <w:r w:rsidR="008A1BB6" w:rsidRPr="002D63F8">
        <w:rPr>
          <w:rFonts w:ascii="Times New Roman" w:hAnsi="Times New Roman" w:cs="Times New Roman"/>
          <w:sz w:val="24"/>
          <w:szCs w:val="24"/>
        </w:rPr>
        <w:t>content</w:t>
      </w:r>
      <w:r w:rsidR="00AA1E1F" w:rsidRPr="002D63F8">
        <w:rPr>
          <w:rFonts w:ascii="Times New Roman" w:hAnsi="Times New Roman" w:cs="Times New Roman"/>
          <w:sz w:val="24"/>
          <w:szCs w:val="24"/>
        </w:rPr>
        <w:t xml:space="preserve"> of </w:t>
      </w:r>
      <w:r w:rsidR="00BF6DB9">
        <w:rPr>
          <w:rFonts w:ascii="Times New Roman" w:hAnsi="Times New Roman" w:cs="Times New Roman"/>
          <w:sz w:val="24"/>
          <w:szCs w:val="24"/>
        </w:rPr>
        <w:t xml:space="preserve">all </w:t>
      </w:r>
      <w:r w:rsidR="00AA1E1F" w:rsidRPr="002D63F8">
        <w:rPr>
          <w:rFonts w:ascii="Times New Roman" w:hAnsi="Times New Roman" w:cs="Times New Roman"/>
          <w:sz w:val="24"/>
          <w:szCs w:val="24"/>
        </w:rPr>
        <w:t>action plans</w:t>
      </w:r>
      <w:r w:rsidR="00797DF7" w:rsidRPr="002D63F8">
        <w:rPr>
          <w:rFonts w:ascii="Times New Roman" w:hAnsi="Times New Roman" w:cs="Times New Roman"/>
          <w:sz w:val="24"/>
          <w:szCs w:val="24"/>
        </w:rPr>
        <w:t>.</w:t>
      </w:r>
    </w:p>
    <w:p w14:paraId="692F182D" w14:textId="2021A146" w:rsidR="00403F31" w:rsidRDefault="00403F31">
      <w:pPr>
        <w:rPr>
          <w:rFonts w:ascii="Times New Roman" w:hAnsi="Times New Roman" w:cs="Times New Roman"/>
          <w:sz w:val="24"/>
          <w:szCs w:val="24"/>
        </w:rPr>
      </w:pPr>
      <w:r>
        <w:rPr>
          <w:rFonts w:ascii="Times New Roman" w:hAnsi="Times New Roman" w:cs="Times New Roman"/>
          <w:sz w:val="24"/>
          <w:szCs w:val="24"/>
        </w:rPr>
        <w:t>The expected timetable for the initial round of action plans is as follows:</w:t>
      </w:r>
    </w:p>
    <w:tbl>
      <w:tblPr>
        <w:tblStyle w:val="TableGrid"/>
        <w:tblW w:w="0" w:type="auto"/>
        <w:tblLook w:val="04A0" w:firstRow="1" w:lastRow="0" w:firstColumn="1" w:lastColumn="0" w:noHBand="0" w:noVBand="1"/>
      </w:tblPr>
      <w:tblGrid>
        <w:gridCol w:w="2547"/>
        <w:gridCol w:w="6469"/>
      </w:tblGrid>
      <w:tr w:rsidR="0021053B" w14:paraId="20388FE1" w14:textId="77777777" w:rsidTr="00403F31">
        <w:tc>
          <w:tcPr>
            <w:tcW w:w="2547" w:type="dxa"/>
          </w:tcPr>
          <w:p w14:paraId="2E5D212D" w14:textId="5133B720" w:rsidR="0021053B" w:rsidRDefault="00FB1144">
            <w:pPr>
              <w:rPr>
                <w:rFonts w:ascii="Times New Roman" w:hAnsi="Times New Roman" w:cs="Times New Roman"/>
                <w:sz w:val="24"/>
                <w:szCs w:val="24"/>
              </w:rPr>
            </w:pPr>
            <w:r>
              <w:rPr>
                <w:rFonts w:ascii="Times New Roman" w:hAnsi="Times New Roman" w:cs="Times New Roman"/>
                <w:sz w:val="24"/>
                <w:szCs w:val="24"/>
              </w:rPr>
              <w:t>15</w:t>
            </w:r>
            <w:r w:rsidR="0021053B">
              <w:rPr>
                <w:rFonts w:ascii="Times New Roman" w:hAnsi="Times New Roman" w:cs="Times New Roman"/>
                <w:sz w:val="24"/>
                <w:szCs w:val="24"/>
              </w:rPr>
              <w:t xml:space="preserve"> October</w:t>
            </w:r>
            <w:r>
              <w:rPr>
                <w:rFonts w:ascii="Times New Roman" w:hAnsi="Times New Roman" w:cs="Times New Roman"/>
                <w:sz w:val="24"/>
                <w:szCs w:val="24"/>
              </w:rPr>
              <w:t xml:space="preserve"> 2021</w:t>
            </w:r>
          </w:p>
        </w:tc>
        <w:tc>
          <w:tcPr>
            <w:tcW w:w="6469" w:type="dxa"/>
          </w:tcPr>
          <w:p w14:paraId="45CE8E5E" w14:textId="11E5722F" w:rsidR="0021053B" w:rsidRDefault="0021053B">
            <w:pPr>
              <w:rPr>
                <w:rFonts w:ascii="Times New Roman" w:hAnsi="Times New Roman" w:cs="Times New Roman"/>
                <w:sz w:val="24"/>
                <w:szCs w:val="24"/>
              </w:rPr>
            </w:pPr>
            <w:r>
              <w:rPr>
                <w:rFonts w:ascii="Times New Roman" w:hAnsi="Times New Roman" w:cs="Times New Roman"/>
                <w:sz w:val="24"/>
                <w:szCs w:val="24"/>
              </w:rPr>
              <w:t xml:space="preserve">Director issues request for companies to indicate whether they </w:t>
            </w:r>
            <w:r w:rsidR="00FB1144">
              <w:rPr>
                <w:rFonts w:ascii="Times New Roman" w:hAnsi="Times New Roman" w:cs="Times New Roman"/>
                <w:sz w:val="24"/>
                <w:szCs w:val="24"/>
              </w:rPr>
              <w:t xml:space="preserve">wish to agree an action plan, in order to support an </w:t>
            </w:r>
            <w:r>
              <w:rPr>
                <w:rFonts w:ascii="Times New Roman" w:hAnsi="Times New Roman" w:cs="Times New Roman"/>
                <w:sz w:val="24"/>
                <w:szCs w:val="24"/>
              </w:rPr>
              <w:t>intend</w:t>
            </w:r>
            <w:r w:rsidR="00FB1144">
              <w:rPr>
                <w:rFonts w:ascii="Times New Roman" w:hAnsi="Times New Roman" w:cs="Times New Roman"/>
                <w:sz w:val="24"/>
                <w:szCs w:val="24"/>
              </w:rPr>
              <w:t xml:space="preserve">ed </w:t>
            </w:r>
            <w:r>
              <w:rPr>
                <w:rFonts w:ascii="Times New Roman" w:hAnsi="Times New Roman" w:cs="Times New Roman"/>
                <w:sz w:val="24"/>
                <w:szCs w:val="24"/>
              </w:rPr>
              <w:t>appl</w:t>
            </w:r>
            <w:r w:rsidR="00FB1144">
              <w:rPr>
                <w:rFonts w:ascii="Times New Roman" w:hAnsi="Times New Roman" w:cs="Times New Roman"/>
                <w:sz w:val="24"/>
                <w:szCs w:val="24"/>
              </w:rPr>
              <w:t>ication</w:t>
            </w:r>
            <w:r>
              <w:rPr>
                <w:rFonts w:ascii="Times New Roman" w:hAnsi="Times New Roman" w:cs="Times New Roman"/>
                <w:sz w:val="24"/>
                <w:szCs w:val="24"/>
              </w:rPr>
              <w:t xml:space="preserve"> for ITQ B eligibility</w:t>
            </w:r>
            <w:r w:rsidR="00BE4D06">
              <w:rPr>
                <w:rFonts w:ascii="Times New Roman" w:hAnsi="Times New Roman" w:cs="Times New Roman"/>
                <w:sz w:val="24"/>
                <w:szCs w:val="24"/>
              </w:rPr>
              <w:t>.</w:t>
            </w:r>
          </w:p>
        </w:tc>
      </w:tr>
      <w:tr w:rsidR="00403F31" w14:paraId="336C38F2" w14:textId="77777777" w:rsidTr="00403F31">
        <w:tc>
          <w:tcPr>
            <w:tcW w:w="2547" w:type="dxa"/>
          </w:tcPr>
          <w:p w14:paraId="55DE017C" w14:textId="6DAFEB18" w:rsidR="00403F31" w:rsidRDefault="00FB1144">
            <w:pPr>
              <w:rPr>
                <w:rFonts w:ascii="Times New Roman" w:hAnsi="Times New Roman" w:cs="Times New Roman"/>
                <w:sz w:val="24"/>
                <w:szCs w:val="24"/>
              </w:rPr>
            </w:pPr>
            <w:r>
              <w:rPr>
                <w:rFonts w:ascii="Times New Roman" w:hAnsi="Times New Roman" w:cs="Times New Roman"/>
                <w:sz w:val="24"/>
                <w:szCs w:val="24"/>
              </w:rPr>
              <w:t>29 October</w:t>
            </w:r>
            <w:r w:rsidR="00B82614">
              <w:rPr>
                <w:rFonts w:ascii="Times New Roman" w:hAnsi="Times New Roman" w:cs="Times New Roman"/>
                <w:sz w:val="24"/>
                <w:szCs w:val="24"/>
              </w:rPr>
              <w:t xml:space="preserve"> </w:t>
            </w:r>
            <w:r>
              <w:rPr>
                <w:rFonts w:ascii="Times New Roman" w:hAnsi="Times New Roman" w:cs="Times New Roman"/>
                <w:sz w:val="24"/>
                <w:szCs w:val="24"/>
              </w:rPr>
              <w:t>2021</w:t>
            </w:r>
          </w:p>
        </w:tc>
        <w:tc>
          <w:tcPr>
            <w:tcW w:w="6469" w:type="dxa"/>
          </w:tcPr>
          <w:p w14:paraId="40EBDC38" w14:textId="368C225A" w:rsidR="00403F31" w:rsidRDefault="0021053B">
            <w:pPr>
              <w:rPr>
                <w:rFonts w:ascii="Times New Roman" w:hAnsi="Times New Roman" w:cs="Times New Roman"/>
                <w:sz w:val="24"/>
                <w:szCs w:val="24"/>
              </w:rPr>
            </w:pPr>
            <w:r>
              <w:rPr>
                <w:rFonts w:ascii="Times New Roman" w:hAnsi="Times New Roman" w:cs="Times New Roman"/>
                <w:sz w:val="24"/>
                <w:szCs w:val="24"/>
              </w:rPr>
              <w:t>C</w:t>
            </w:r>
            <w:r w:rsidR="007D6087">
              <w:rPr>
                <w:rFonts w:ascii="Times New Roman" w:hAnsi="Times New Roman" w:cs="Times New Roman"/>
                <w:sz w:val="24"/>
                <w:szCs w:val="24"/>
              </w:rPr>
              <w:t xml:space="preserve">ompanies </w:t>
            </w:r>
            <w:r w:rsidR="002B23E9">
              <w:rPr>
                <w:rFonts w:ascii="Times New Roman" w:hAnsi="Times New Roman" w:cs="Times New Roman"/>
                <w:sz w:val="24"/>
                <w:szCs w:val="24"/>
              </w:rPr>
              <w:t xml:space="preserve">asked </w:t>
            </w:r>
            <w:r>
              <w:rPr>
                <w:rFonts w:ascii="Times New Roman" w:hAnsi="Times New Roman" w:cs="Times New Roman"/>
                <w:sz w:val="24"/>
                <w:szCs w:val="24"/>
              </w:rPr>
              <w:t>to respond by this date</w:t>
            </w:r>
            <w:r w:rsidR="007D6087">
              <w:rPr>
                <w:rFonts w:ascii="Times New Roman" w:hAnsi="Times New Roman" w:cs="Times New Roman"/>
                <w:sz w:val="24"/>
                <w:szCs w:val="24"/>
              </w:rPr>
              <w:t xml:space="preserve"> </w:t>
            </w:r>
            <w:r w:rsidR="002B23E9">
              <w:rPr>
                <w:rFonts w:ascii="Times New Roman" w:hAnsi="Times New Roman" w:cs="Times New Roman"/>
                <w:sz w:val="24"/>
                <w:szCs w:val="24"/>
              </w:rPr>
              <w:t xml:space="preserve">if they wish to </w:t>
            </w:r>
            <w:r w:rsidR="00FB1144">
              <w:rPr>
                <w:rFonts w:ascii="Times New Roman" w:hAnsi="Times New Roman" w:cs="Times New Roman"/>
                <w:sz w:val="24"/>
                <w:szCs w:val="24"/>
              </w:rPr>
              <w:t xml:space="preserve">request </w:t>
            </w:r>
            <w:r w:rsidR="007D6087">
              <w:rPr>
                <w:rFonts w:ascii="Times New Roman" w:hAnsi="Times New Roman" w:cs="Times New Roman"/>
                <w:sz w:val="24"/>
                <w:szCs w:val="24"/>
              </w:rPr>
              <w:t>an action plan</w:t>
            </w:r>
            <w:r w:rsidR="00B82614">
              <w:rPr>
                <w:rFonts w:ascii="Times New Roman" w:hAnsi="Times New Roman" w:cs="Times New Roman"/>
                <w:sz w:val="24"/>
                <w:szCs w:val="24"/>
              </w:rPr>
              <w:t xml:space="preserve"> </w:t>
            </w:r>
          </w:p>
        </w:tc>
      </w:tr>
      <w:tr w:rsidR="00403F31" w14:paraId="290C3557" w14:textId="77777777" w:rsidTr="00403F31">
        <w:tc>
          <w:tcPr>
            <w:tcW w:w="2547" w:type="dxa"/>
          </w:tcPr>
          <w:p w14:paraId="7FC163C2" w14:textId="082AD803" w:rsidR="00403F31" w:rsidRDefault="00FB1144">
            <w:pPr>
              <w:rPr>
                <w:rFonts w:ascii="Times New Roman" w:hAnsi="Times New Roman" w:cs="Times New Roman"/>
                <w:sz w:val="24"/>
                <w:szCs w:val="24"/>
              </w:rPr>
            </w:pPr>
            <w:r>
              <w:rPr>
                <w:rFonts w:ascii="Times New Roman" w:hAnsi="Times New Roman" w:cs="Times New Roman"/>
                <w:sz w:val="24"/>
                <w:szCs w:val="24"/>
              </w:rPr>
              <w:t>12 November</w:t>
            </w:r>
            <w:r w:rsidR="00F23391">
              <w:rPr>
                <w:rFonts w:ascii="Times New Roman" w:hAnsi="Times New Roman" w:cs="Times New Roman"/>
                <w:sz w:val="24"/>
                <w:szCs w:val="24"/>
              </w:rPr>
              <w:t xml:space="preserve"> </w:t>
            </w:r>
            <w:r>
              <w:rPr>
                <w:rFonts w:ascii="Times New Roman" w:hAnsi="Times New Roman" w:cs="Times New Roman"/>
                <w:sz w:val="24"/>
                <w:szCs w:val="24"/>
              </w:rPr>
              <w:t>2021</w:t>
            </w:r>
          </w:p>
        </w:tc>
        <w:tc>
          <w:tcPr>
            <w:tcW w:w="6469" w:type="dxa"/>
          </w:tcPr>
          <w:p w14:paraId="35EAEEC3" w14:textId="77777777" w:rsidR="00403F31" w:rsidRDefault="00403F31">
            <w:pPr>
              <w:rPr>
                <w:rFonts w:ascii="Times New Roman" w:hAnsi="Times New Roman" w:cs="Times New Roman"/>
                <w:sz w:val="24"/>
                <w:szCs w:val="24"/>
              </w:rPr>
            </w:pPr>
            <w:r>
              <w:rPr>
                <w:rFonts w:ascii="Times New Roman" w:hAnsi="Times New Roman" w:cs="Times New Roman"/>
                <w:sz w:val="24"/>
                <w:szCs w:val="24"/>
              </w:rPr>
              <w:t>Draft company action plans produced by DNR</w:t>
            </w:r>
          </w:p>
          <w:p w14:paraId="391D0316" w14:textId="36CF9975" w:rsidR="00403F31" w:rsidRDefault="00403F31">
            <w:pPr>
              <w:rPr>
                <w:rFonts w:ascii="Times New Roman" w:hAnsi="Times New Roman" w:cs="Times New Roman"/>
                <w:sz w:val="24"/>
                <w:szCs w:val="24"/>
              </w:rPr>
            </w:pPr>
            <w:r>
              <w:rPr>
                <w:rFonts w:ascii="Times New Roman" w:hAnsi="Times New Roman" w:cs="Times New Roman"/>
                <w:sz w:val="24"/>
                <w:szCs w:val="24"/>
              </w:rPr>
              <w:t>Opportunity for companies to comment and propose amendments</w:t>
            </w:r>
          </w:p>
        </w:tc>
      </w:tr>
      <w:tr w:rsidR="00403F31" w14:paraId="08B07F7D" w14:textId="77777777" w:rsidTr="00403F31">
        <w:tc>
          <w:tcPr>
            <w:tcW w:w="2547" w:type="dxa"/>
          </w:tcPr>
          <w:p w14:paraId="546715FB" w14:textId="7E76262D" w:rsidR="00403F31" w:rsidRDefault="00AE22F3">
            <w:pPr>
              <w:rPr>
                <w:rFonts w:ascii="Times New Roman" w:hAnsi="Times New Roman" w:cs="Times New Roman"/>
                <w:sz w:val="24"/>
                <w:szCs w:val="24"/>
              </w:rPr>
            </w:pPr>
            <w:r>
              <w:rPr>
                <w:rFonts w:ascii="Times New Roman" w:hAnsi="Times New Roman" w:cs="Times New Roman"/>
                <w:sz w:val="24"/>
                <w:szCs w:val="24"/>
              </w:rPr>
              <w:t>31</w:t>
            </w:r>
            <w:r w:rsidRPr="00AE22F3">
              <w:rPr>
                <w:rFonts w:ascii="Times New Roman" w:hAnsi="Times New Roman" w:cs="Times New Roman"/>
                <w:sz w:val="24"/>
                <w:szCs w:val="24"/>
                <w:vertAlign w:val="superscript"/>
              </w:rPr>
              <w:t>st</w:t>
            </w:r>
            <w:r>
              <w:rPr>
                <w:rFonts w:ascii="Times New Roman" w:hAnsi="Times New Roman" w:cs="Times New Roman"/>
                <w:sz w:val="24"/>
                <w:szCs w:val="24"/>
              </w:rPr>
              <w:t xml:space="preserve"> March</w:t>
            </w:r>
            <w:bookmarkStart w:id="7" w:name="_GoBack"/>
            <w:bookmarkEnd w:id="7"/>
            <w:r w:rsidR="00BE4D06">
              <w:rPr>
                <w:rFonts w:ascii="Times New Roman" w:hAnsi="Times New Roman" w:cs="Times New Roman"/>
                <w:sz w:val="24"/>
                <w:szCs w:val="24"/>
              </w:rPr>
              <w:t xml:space="preserve"> 202</w:t>
            </w:r>
            <w:r>
              <w:rPr>
                <w:rFonts w:ascii="Times New Roman" w:hAnsi="Times New Roman" w:cs="Times New Roman"/>
                <w:sz w:val="24"/>
                <w:szCs w:val="24"/>
              </w:rPr>
              <w:t>2</w:t>
            </w:r>
          </w:p>
        </w:tc>
        <w:tc>
          <w:tcPr>
            <w:tcW w:w="6469" w:type="dxa"/>
          </w:tcPr>
          <w:p w14:paraId="22235886" w14:textId="2B70577C" w:rsidR="00403F31" w:rsidRDefault="00403F31">
            <w:pPr>
              <w:rPr>
                <w:rFonts w:ascii="Times New Roman" w:hAnsi="Times New Roman" w:cs="Times New Roman"/>
                <w:sz w:val="24"/>
                <w:szCs w:val="24"/>
              </w:rPr>
            </w:pPr>
            <w:r>
              <w:rPr>
                <w:rFonts w:ascii="Times New Roman" w:hAnsi="Times New Roman" w:cs="Times New Roman"/>
                <w:sz w:val="24"/>
                <w:szCs w:val="24"/>
              </w:rPr>
              <w:t>Final company action plans produced by DNR</w:t>
            </w:r>
          </w:p>
          <w:p w14:paraId="11C3340D" w14:textId="176F4128" w:rsidR="00403F31" w:rsidRDefault="00403F31" w:rsidP="00BE4D06">
            <w:pPr>
              <w:rPr>
                <w:rFonts w:ascii="Times New Roman" w:hAnsi="Times New Roman" w:cs="Times New Roman"/>
                <w:sz w:val="24"/>
                <w:szCs w:val="24"/>
              </w:rPr>
            </w:pPr>
          </w:p>
        </w:tc>
      </w:tr>
      <w:tr w:rsidR="00BE4D06" w14:paraId="0D0A0C8A" w14:textId="77777777" w:rsidTr="00403F31">
        <w:tc>
          <w:tcPr>
            <w:tcW w:w="2547" w:type="dxa"/>
          </w:tcPr>
          <w:p w14:paraId="7EDC9D30" w14:textId="607D02EE" w:rsidR="00BE4D06" w:rsidRDefault="00AE22F3">
            <w:pPr>
              <w:rPr>
                <w:rFonts w:ascii="Times New Roman" w:hAnsi="Times New Roman" w:cs="Times New Roman"/>
                <w:sz w:val="24"/>
                <w:szCs w:val="24"/>
              </w:rPr>
            </w:pPr>
            <w:r>
              <w:rPr>
                <w:rFonts w:ascii="Times New Roman" w:hAnsi="Times New Roman" w:cs="Times New Roman"/>
                <w:sz w:val="24"/>
                <w:szCs w:val="24"/>
              </w:rPr>
              <w:t>14</w:t>
            </w:r>
            <w:r w:rsidRPr="00AE22F3">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BE4D06">
              <w:rPr>
                <w:rFonts w:ascii="Times New Roman" w:hAnsi="Times New Roman" w:cs="Times New Roman"/>
                <w:sz w:val="24"/>
                <w:szCs w:val="24"/>
              </w:rPr>
              <w:t xml:space="preserve"> 2022</w:t>
            </w:r>
          </w:p>
        </w:tc>
        <w:tc>
          <w:tcPr>
            <w:tcW w:w="6469" w:type="dxa"/>
          </w:tcPr>
          <w:p w14:paraId="4BB7359C" w14:textId="5B50700D" w:rsidR="00BE4D06" w:rsidRDefault="00BE4D06">
            <w:pPr>
              <w:rPr>
                <w:rFonts w:ascii="Times New Roman" w:hAnsi="Times New Roman" w:cs="Times New Roman"/>
                <w:sz w:val="24"/>
                <w:szCs w:val="24"/>
              </w:rPr>
            </w:pPr>
            <w:r>
              <w:rPr>
                <w:rFonts w:ascii="Times New Roman" w:hAnsi="Times New Roman" w:cs="Times New Roman"/>
                <w:sz w:val="24"/>
                <w:szCs w:val="24"/>
              </w:rPr>
              <w:t xml:space="preserve">Deadline for company to notify Director of request for </w:t>
            </w:r>
            <w:proofErr w:type="spellStart"/>
            <w:r w:rsidR="00DA15DC">
              <w:rPr>
                <w:rFonts w:ascii="Times New Roman" w:hAnsi="Times New Roman" w:cs="Times New Roman"/>
                <w:sz w:val="24"/>
                <w:szCs w:val="24"/>
              </w:rPr>
              <w:t>ExCo</w:t>
            </w:r>
            <w:proofErr w:type="spellEnd"/>
            <w:r>
              <w:rPr>
                <w:rFonts w:ascii="Times New Roman" w:hAnsi="Times New Roman" w:cs="Times New Roman"/>
                <w:sz w:val="24"/>
                <w:szCs w:val="24"/>
              </w:rPr>
              <w:t xml:space="preserve"> to consider an appeal.</w:t>
            </w:r>
          </w:p>
          <w:p w14:paraId="70872E59" w14:textId="5443E50E" w:rsidR="00BE4D06" w:rsidRDefault="00BE4D06">
            <w:pPr>
              <w:rPr>
                <w:rFonts w:ascii="Times New Roman" w:hAnsi="Times New Roman" w:cs="Times New Roman"/>
                <w:sz w:val="24"/>
                <w:szCs w:val="24"/>
              </w:rPr>
            </w:pPr>
          </w:p>
        </w:tc>
      </w:tr>
      <w:tr w:rsidR="00BE4D06" w14:paraId="38F69560" w14:textId="77777777" w:rsidTr="00403F31">
        <w:tc>
          <w:tcPr>
            <w:tcW w:w="2547" w:type="dxa"/>
          </w:tcPr>
          <w:p w14:paraId="23B3487C" w14:textId="555C0BB9" w:rsidR="00BE4D06" w:rsidRDefault="00AE22F3">
            <w:pPr>
              <w:rPr>
                <w:rFonts w:ascii="Times New Roman" w:hAnsi="Times New Roman" w:cs="Times New Roman"/>
                <w:sz w:val="24"/>
                <w:szCs w:val="24"/>
              </w:rPr>
            </w:pPr>
            <w:r>
              <w:rPr>
                <w:rFonts w:ascii="Times New Roman" w:hAnsi="Times New Roman" w:cs="Times New Roman"/>
                <w:sz w:val="24"/>
                <w:szCs w:val="24"/>
              </w:rPr>
              <w:t>14</w:t>
            </w:r>
            <w:r w:rsidRPr="00AE22F3">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r w:rsidR="00BE4D06">
              <w:rPr>
                <w:rFonts w:ascii="Times New Roman" w:hAnsi="Times New Roman" w:cs="Times New Roman"/>
                <w:sz w:val="24"/>
                <w:szCs w:val="24"/>
              </w:rPr>
              <w:t xml:space="preserve"> 2022</w:t>
            </w:r>
          </w:p>
        </w:tc>
        <w:tc>
          <w:tcPr>
            <w:tcW w:w="6469" w:type="dxa"/>
          </w:tcPr>
          <w:p w14:paraId="68B38944" w14:textId="77777777" w:rsidR="00BE4D06" w:rsidRDefault="00BE4D06">
            <w:pPr>
              <w:rPr>
                <w:rFonts w:ascii="Times New Roman" w:hAnsi="Times New Roman" w:cs="Times New Roman"/>
                <w:sz w:val="24"/>
                <w:szCs w:val="24"/>
              </w:rPr>
            </w:pPr>
            <w:r>
              <w:rPr>
                <w:rFonts w:ascii="Times New Roman" w:hAnsi="Times New Roman" w:cs="Times New Roman"/>
                <w:sz w:val="24"/>
                <w:szCs w:val="24"/>
              </w:rPr>
              <w:t xml:space="preserve">Date by which companies will be notified of the outcome of any </w:t>
            </w:r>
            <w:proofErr w:type="spellStart"/>
            <w:r>
              <w:rPr>
                <w:rFonts w:ascii="Times New Roman" w:hAnsi="Times New Roman" w:cs="Times New Roman"/>
                <w:sz w:val="24"/>
                <w:szCs w:val="24"/>
              </w:rPr>
              <w:t>ExCo</w:t>
            </w:r>
            <w:proofErr w:type="spellEnd"/>
            <w:r>
              <w:rPr>
                <w:rFonts w:ascii="Times New Roman" w:hAnsi="Times New Roman" w:cs="Times New Roman"/>
                <w:sz w:val="24"/>
                <w:szCs w:val="24"/>
              </w:rPr>
              <w:t xml:space="preserve"> appeals.</w:t>
            </w:r>
          </w:p>
          <w:p w14:paraId="2FF083A1" w14:textId="27830715" w:rsidR="00BE4D06" w:rsidRDefault="00BE4D06">
            <w:pPr>
              <w:rPr>
                <w:rFonts w:ascii="Times New Roman" w:hAnsi="Times New Roman" w:cs="Times New Roman"/>
                <w:sz w:val="24"/>
                <w:szCs w:val="24"/>
              </w:rPr>
            </w:pPr>
          </w:p>
        </w:tc>
      </w:tr>
      <w:tr w:rsidR="00403F31" w14:paraId="61FFF9C0" w14:textId="77777777" w:rsidTr="00403F31">
        <w:tc>
          <w:tcPr>
            <w:tcW w:w="2547" w:type="dxa"/>
          </w:tcPr>
          <w:p w14:paraId="76178AB1" w14:textId="5D625F15" w:rsidR="00403F31" w:rsidRDefault="00950335">
            <w:pPr>
              <w:rPr>
                <w:rFonts w:ascii="Times New Roman" w:hAnsi="Times New Roman" w:cs="Times New Roman"/>
                <w:sz w:val="24"/>
                <w:szCs w:val="24"/>
              </w:rPr>
            </w:pPr>
            <w:r>
              <w:rPr>
                <w:rFonts w:ascii="Times New Roman" w:hAnsi="Times New Roman" w:cs="Times New Roman"/>
                <w:sz w:val="24"/>
                <w:szCs w:val="24"/>
              </w:rPr>
              <w:t>30th June</w:t>
            </w:r>
            <w:r w:rsidR="00BE4D06">
              <w:rPr>
                <w:rFonts w:ascii="Times New Roman" w:hAnsi="Times New Roman" w:cs="Times New Roman"/>
                <w:sz w:val="24"/>
                <w:szCs w:val="24"/>
              </w:rPr>
              <w:t xml:space="preserve"> 2022</w:t>
            </w:r>
          </w:p>
        </w:tc>
        <w:tc>
          <w:tcPr>
            <w:tcW w:w="6469" w:type="dxa"/>
          </w:tcPr>
          <w:p w14:paraId="7BB682C7" w14:textId="3591D61B" w:rsidR="00403F31" w:rsidRDefault="00403F31">
            <w:pPr>
              <w:rPr>
                <w:rFonts w:ascii="Times New Roman" w:hAnsi="Times New Roman" w:cs="Times New Roman"/>
                <w:sz w:val="24"/>
                <w:szCs w:val="24"/>
              </w:rPr>
            </w:pPr>
            <w:r>
              <w:rPr>
                <w:rFonts w:ascii="Times New Roman" w:hAnsi="Times New Roman" w:cs="Times New Roman"/>
                <w:sz w:val="24"/>
                <w:szCs w:val="24"/>
              </w:rPr>
              <w:t>Deadline for ITQ B applications to be submitted</w:t>
            </w:r>
          </w:p>
          <w:p w14:paraId="00308F8E" w14:textId="1ABDBADD" w:rsidR="00403F31" w:rsidRDefault="00403F31">
            <w:pPr>
              <w:rPr>
                <w:rFonts w:ascii="Times New Roman" w:hAnsi="Times New Roman" w:cs="Times New Roman"/>
                <w:sz w:val="24"/>
                <w:szCs w:val="24"/>
              </w:rPr>
            </w:pPr>
          </w:p>
        </w:tc>
      </w:tr>
    </w:tbl>
    <w:p w14:paraId="4F745887" w14:textId="2D1511AE" w:rsidR="00C75167" w:rsidRPr="00C75167" w:rsidRDefault="00C75167" w:rsidP="00C75167">
      <w:pPr>
        <w:rPr>
          <w:rFonts w:ascii="Times New Roman" w:hAnsi="Times New Roman" w:cs="Times New Roman"/>
          <w:b/>
          <w:sz w:val="24"/>
          <w:szCs w:val="24"/>
        </w:rPr>
      </w:pPr>
      <w:r w:rsidRPr="00C75167">
        <w:rPr>
          <w:rFonts w:ascii="Times New Roman" w:hAnsi="Times New Roman" w:cs="Times New Roman"/>
          <w:b/>
          <w:sz w:val="24"/>
          <w:szCs w:val="24"/>
        </w:rPr>
        <w:lastRenderedPageBreak/>
        <w:t>What action plans will contain</w:t>
      </w:r>
      <w:r>
        <w:rPr>
          <w:rFonts w:ascii="Times New Roman" w:hAnsi="Times New Roman" w:cs="Times New Roman"/>
          <w:b/>
          <w:sz w:val="24"/>
          <w:szCs w:val="24"/>
        </w:rPr>
        <w:t>; and h</w:t>
      </w:r>
      <w:r w:rsidRPr="00C75167">
        <w:rPr>
          <w:rFonts w:ascii="Times New Roman" w:hAnsi="Times New Roman" w:cs="Times New Roman"/>
          <w:b/>
          <w:sz w:val="24"/>
          <w:szCs w:val="24"/>
        </w:rPr>
        <w:t>ow progress against action plans is monitored and assessed</w:t>
      </w:r>
    </w:p>
    <w:p w14:paraId="7B0F4475" w14:textId="46AFA3B4" w:rsidR="00C13316" w:rsidRPr="002D63F8" w:rsidRDefault="00544AC4" w:rsidP="00C13316">
      <w:pPr>
        <w:rPr>
          <w:rFonts w:ascii="Times New Roman" w:hAnsi="Times New Roman" w:cs="Times New Roman"/>
          <w:sz w:val="24"/>
          <w:szCs w:val="24"/>
        </w:rPr>
      </w:pPr>
      <w:r>
        <w:rPr>
          <w:rFonts w:ascii="Times New Roman" w:hAnsi="Times New Roman" w:cs="Times New Roman"/>
          <w:sz w:val="24"/>
          <w:szCs w:val="24"/>
        </w:rPr>
        <w:t xml:space="preserve">The </w:t>
      </w:r>
      <w:r w:rsidR="00541795">
        <w:rPr>
          <w:rFonts w:ascii="Times New Roman" w:hAnsi="Times New Roman" w:cs="Times New Roman"/>
          <w:i/>
          <w:sz w:val="24"/>
          <w:szCs w:val="24"/>
        </w:rPr>
        <w:t>Fisheries (Action Plans)</w:t>
      </w:r>
      <w:r w:rsidRPr="00544AC4">
        <w:rPr>
          <w:rFonts w:ascii="Times New Roman" w:hAnsi="Times New Roman" w:cs="Times New Roman"/>
          <w:i/>
          <w:sz w:val="24"/>
          <w:szCs w:val="24"/>
        </w:rPr>
        <w:t xml:space="preserve"> Regulations 2021</w:t>
      </w:r>
      <w:r>
        <w:rPr>
          <w:rFonts w:ascii="Times New Roman" w:hAnsi="Times New Roman" w:cs="Times New Roman"/>
          <w:sz w:val="24"/>
          <w:szCs w:val="24"/>
        </w:rPr>
        <w:t xml:space="preserve"> set out the scope of company action plans. The o</w:t>
      </w:r>
      <w:r w:rsidR="00C13316" w:rsidRPr="002D63F8">
        <w:rPr>
          <w:rFonts w:ascii="Times New Roman" w:hAnsi="Times New Roman" w:cs="Times New Roman"/>
          <w:sz w:val="24"/>
          <w:szCs w:val="24"/>
        </w:rPr>
        <w:t xml:space="preserve">bjectives </w:t>
      </w:r>
      <w:r>
        <w:rPr>
          <w:rFonts w:ascii="Times New Roman" w:hAnsi="Times New Roman" w:cs="Times New Roman"/>
          <w:sz w:val="24"/>
          <w:szCs w:val="24"/>
        </w:rPr>
        <w:t xml:space="preserve">in the action plans </w:t>
      </w:r>
      <w:r w:rsidR="00C13316" w:rsidRPr="002D63F8">
        <w:rPr>
          <w:rFonts w:ascii="Times New Roman" w:hAnsi="Times New Roman" w:cs="Times New Roman"/>
          <w:sz w:val="24"/>
          <w:szCs w:val="24"/>
        </w:rPr>
        <w:t xml:space="preserve">must relate to </w:t>
      </w:r>
      <w:r>
        <w:rPr>
          <w:rFonts w:ascii="Times New Roman" w:hAnsi="Times New Roman" w:cs="Times New Roman"/>
          <w:sz w:val="24"/>
          <w:szCs w:val="24"/>
        </w:rPr>
        <w:t xml:space="preserve">the </w:t>
      </w:r>
      <w:r w:rsidR="00D13618">
        <w:rPr>
          <w:rFonts w:ascii="Times New Roman" w:hAnsi="Times New Roman" w:cs="Times New Roman"/>
          <w:sz w:val="24"/>
          <w:szCs w:val="24"/>
        </w:rPr>
        <w:t>goals</w:t>
      </w:r>
      <w:r w:rsidR="00D13618" w:rsidRPr="002D63F8">
        <w:rPr>
          <w:rFonts w:ascii="Times New Roman" w:hAnsi="Times New Roman" w:cs="Times New Roman"/>
          <w:sz w:val="24"/>
          <w:szCs w:val="24"/>
        </w:rPr>
        <w:t xml:space="preserve"> </w:t>
      </w:r>
      <w:r w:rsidR="00C13316" w:rsidRPr="002D63F8">
        <w:rPr>
          <w:rFonts w:ascii="Times New Roman" w:hAnsi="Times New Roman" w:cs="Times New Roman"/>
          <w:sz w:val="24"/>
          <w:szCs w:val="24"/>
        </w:rPr>
        <w:t xml:space="preserve">set out in </w:t>
      </w:r>
      <w:r>
        <w:rPr>
          <w:rFonts w:ascii="Times New Roman" w:hAnsi="Times New Roman" w:cs="Times New Roman"/>
          <w:sz w:val="24"/>
          <w:szCs w:val="24"/>
        </w:rPr>
        <w:t>those Regulations, which are</w:t>
      </w:r>
      <w:r w:rsidR="00C13316" w:rsidRPr="002D63F8">
        <w:rPr>
          <w:rFonts w:ascii="Times New Roman" w:hAnsi="Times New Roman" w:cs="Times New Roman"/>
          <w:sz w:val="24"/>
          <w:szCs w:val="24"/>
        </w:rPr>
        <w:t xml:space="preserve"> the five goals of the </w:t>
      </w:r>
      <w:r>
        <w:rPr>
          <w:rFonts w:ascii="Times New Roman" w:hAnsi="Times New Roman" w:cs="Times New Roman"/>
          <w:sz w:val="24"/>
          <w:szCs w:val="24"/>
        </w:rPr>
        <w:t xml:space="preserve">FIG-FIFCA </w:t>
      </w:r>
      <w:r w:rsidR="00C13316" w:rsidRPr="002D63F8">
        <w:rPr>
          <w:rFonts w:ascii="Times New Roman" w:hAnsi="Times New Roman" w:cs="Times New Roman"/>
          <w:sz w:val="24"/>
          <w:szCs w:val="24"/>
        </w:rPr>
        <w:t>Fisheries Accord</w:t>
      </w:r>
      <w:r w:rsidR="00895D72">
        <w:rPr>
          <w:rFonts w:ascii="Times New Roman" w:hAnsi="Times New Roman" w:cs="Times New Roman"/>
          <w:sz w:val="24"/>
          <w:szCs w:val="24"/>
        </w:rPr>
        <w:t xml:space="preserve">. There </w:t>
      </w:r>
      <w:r>
        <w:rPr>
          <w:rFonts w:ascii="Times New Roman" w:hAnsi="Times New Roman" w:cs="Times New Roman"/>
          <w:sz w:val="24"/>
          <w:szCs w:val="24"/>
        </w:rPr>
        <w:t xml:space="preserve">is a </w:t>
      </w:r>
      <w:r w:rsidR="00895D72">
        <w:rPr>
          <w:rFonts w:ascii="Times New Roman" w:hAnsi="Times New Roman" w:cs="Times New Roman"/>
          <w:sz w:val="24"/>
          <w:szCs w:val="24"/>
        </w:rPr>
        <w:t xml:space="preserve">legal duty </w:t>
      </w:r>
      <w:r>
        <w:rPr>
          <w:rFonts w:ascii="Times New Roman" w:hAnsi="Times New Roman" w:cs="Times New Roman"/>
          <w:sz w:val="24"/>
          <w:szCs w:val="24"/>
        </w:rPr>
        <w:t xml:space="preserve">on government </w:t>
      </w:r>
      <w:r w:rsidR="00541795">
        <w:rPr>
          <w:rFonts w:ascii="Times New Roman" w:hAnsi="Times New Roman" w:cs="Times New Roman"/>
          <w:sz w:val="24"/>
          <w:szCs w:val="24"/>
        </w:rPr>
        <w:t xml:space="preserve">in </w:t>
      </w:r>
      <w:r>
        <w:rPr>
          <w:rFonts w:ascii="Times New Roman" w:hAnsi="Times New Roman" w:cs="Times New Roman"/>
          <w:sz w:val="24"/>
          <w:szCs w:val="24"/>
        </w:rPr>
        <w:t xml:space="preserve">section </w:t>
      </w:r>
      <w:r w:rsidR="00541795">
        <w:rPr>
          <w:rFonts w:ascii="Times New Roman" w:hAnsi="Times New Roman" w:cs="Times New Roman"/>
          <w:sz w:val="24"/>
          <w:szCs w:val="24"/>
        </w:rPr>
        <w:t>17</w:t>
      </w:r>
      <w:proofErr w:type="gramStart"/>
      <w:r w:rsidR="00541795">
        <w:rPr>
          <w:rFonts w:ascii="Times New Roman" w:hAnsi="Times New Roman" w:cs="Times New Roman"/>
          <w:sz w:val="24"/>
          <w:szCs w:val="24"/>
        </w:rPr>
        <w:t>E(</w:t>
      </w:r>
      <w:proofErr w:type="gramEnd"/>
      <w:r w:rsidR="00541795">
        <w:rPr>
          <w:rFonts w:ascii="Times New Roman" w:hAnsi="Times New Roman" w:cs="Times New Roman"/>
          <w:sz w:val="24"/>
          <w:szCs w:val="24"/>
        </w:rPr>
        <w:t>2)</w:t>
      </w:r>
      <w:r>
        <w:rPr>
          <w:rFonts w:ascii="Times New Roman" w:hAnsi="Times New Roman" w:cs="Times New Roman"/>
          <w:sz w:val="24"/>
          <w:szCs w:val="24"/>
        </w:rPr>
        <w:t xml:space="preserve"> of the revised Ordinance</w:t>
      </w:r>
      <w:r w:rsidR="002F6757">
        <w:rPr>
          <w:rFonts w:ascii="Times New Roman" w:hAnsi="Times New Roman" w:cs="Times New Roman"/>
          <w:sz w:val="24"/>
          <w:szCs w:val="24"/>
        </w:rPr>
        <w:t xml:space="preserve"> </w:t>
      </w:r>
      <w:r w:rsidR="00895D72">
        <w:rPr>
          <w:rFonts w:ascii="Times New Roman" w:hAnsi="Times New Roman" w:cs="Times New Roman"/>
          <w:sz w:val="24"/>
          <w:szCs w:val="24"/>
        </w:rPr>
        <w:t xml:space="preserve">to consult </w:t>
      </w:r>
      <w:r w:rsidR="00541795">
        <w:rPr>
          <w:rFonts w:ascii="Times New Roman" w:hAnsi="Times New Roman" w:cs="Times New Roman"/>
          <w:sz w:val="24"/>
          <w:szCs w:val="24"/>
        </w:rPr>
        <w:t xml:space="preserve">the Fisheries Committee and FIFCA </w:t>
      </w:r>
      <w:r w:rsidR="00895D72">
        <w:rPr>
          <w:rFonts w:ascii="Times New Roman" w:hAnsi="Times New Roman" w:cs="Times New Roman"/>
          <w:sz w:val="24"/>
          <w:szCs w:val="24"/>
        </w:rPr>
        <w:t xml:space="preserve">before </w:t>
      </w:r>
      <w:r>
        <w:rPr>
          <w:rFonts w:ascii="Times New Roman" w:hAnsi="Times New Roman" w:cs="Times New Roman"/>
          <w:sz w:val="24"/>
          <w:szCs w:val="24"/>
        </w:rPr>
        <w:t>making</w:t>
      </w:r>
      <w:r w:rsidR="00541795">
        <w:rPr>
          <w:rFonts w:ascii="Times New Roman" w:hAnsi="Times New Roman" w:cs="Times New Roman"/>
          <w:sz w:val="24"/>
          <w:szCs w:val="24"/>
        </w:rPr>
        <w:t xml:space="preserve">, or </w:t>
      </w:r>
      <w:r w:rsidR="00895D72">
        <w:rPr>
          <w:rFonts w:ascii="Times New Roman" w:hAnsi="Times New Roman" w:cs="Times New Roman"/>
          <w:sz w:val="24"/>
          <w:szCs w:val="24"/>
        </w:rPr>
        <w:t>revisi</w:t>
      </w:r>
      <w:r w:rsidR="00541795">
        <w:rPr>
          <w:rFonts w:ascii="Times New Roman" w:hAnsi="Times New Roman" w:cs="Times New Roman"/>
          <w:sz w:val="24"/>
          <w:szCs w:val="24"/>
        </w:rPr>
        <w:t>ng,</w:t>
      </w:r>
      <w:r>
        <w:rPr>
          <w:rFonts w:ascii="Times New Roman" w:hAnsi="Times New Roman" w:cs="Times New Roman"/>
          <w:sz w:val="24"/>
          <w:szCs w:val="24"/>
        </w:rPr>
        <w:t xml:space="preserve"> </w:t>
      </w:r>
      <w:r w:rsidR="00895D72">
        <w:rPr>
          <w:rFonts w:ascii="Times New Roman" w:hAnsi="Times New Roman" w:cs="Times New Roman"/>
          <w:sz w:val="24"/>
          <w:szCs w:val="24"/>
        </w:rPr>
        <w:t xml:space="preserve">these regulations. </w:t>
      </w:r>
    </w:p>
    <w:p w14:paraId="13C2354B" w14:textId="15247A26" w:rsidR="00C13316" w:rsidRDefault="00C13316" w:rsidP="00C13316">
      <w:pPr>
        <w:rPr>
          <w:rFonts w:ascii="Times New Roman" w:hAnsi="Times New Roman" w:cs="Times New Roman"/>
          <w:sz w:val="24"/>
          <w:szCs w:val="24"/>
        </w:rPr>
      </w:pPr>
      <w:r w:rsidRPr="002D63F8">
        <w:rPr>
          <w:rFonts w:ascii="Times New Roman" w:hAnsi="Times New Roman" w:cs="Times New Roman"/>
          <w:sz w:val="24"/>
          <w:szCs w:val="24"/>
        </w:rPr>
        <w:t xml:space="preserve">The first set of company action plans will include </w:t>
      </w:r>
      <w:r w:rsidR="004E147E">
        <w:rPr>
          <w:rFonts w:ascii="Times New Roman" w:hAnsi="Times New Roman" w:cs="Times New Roman"/>
          <w:sz w:val="24"/>
          <w:szCs w:val="24"/>
        </w:rPr>
        <w:t>f</w:t>
      </w:r>
      <w:r w:rsidR="002B0CB6">
        <w:rPr>
          <w:rFonts w:ascii="Times New Roman" w:hAnsi="Times New Roman" w:cs="Times New Roman"/>
          <w:sz w:val="24"/>
          <w:szCs w:val="24"/>
        </w:rPr>
        <w:t>our</w:t>
      </w:r>
      <w:r w:rsidR="004E147E">
        <w:rPr>
          <w:rFonts w:ascii="Times New Roman" w:hAnsi="Times New Roman" w:cs="Times New Roman"/>
          <w:sz w:val="24"/>
          <w:szCs w:val="24"/>
        </w:rPr>
        <w:t xml:space="preserve"> </w:t>
      </w:r>
      <w:r w:rsidRPr="002D63F8">
        <w:rPr>
          <w:rFonts w:ascii="Times New Roman" w:hAnsi="Times New Roman" w:cs="Times New Roman"/>
          <w:sz w:val="24"/>
          <w:szCs w:val="24"/>
        </w:rPr>
        <w:t>commitments</w:t>
      </w:r>
      <w:r w:rsidR="002657DF">
        <w:rPr>
          <w:rFonts w:ascii="Times New Roman" w:hAnsi="Times New Roman" w:cs="Times New Roman"/>
          <w:sz w:val="24"/>
          <w:szCs w:val="24"/>
        </w:rPr>
        <w:t>:</w:t>
      </w:r>
    </w:p>
    <w:p w14:paraId="336EC2E5" w14:textId="77777777" w:rsidR="002657DF" w:rsidRPr="002D63F8" w:rsidRDefault="002657DF" w:rsidP="00C13316">
      <w:pPr>
        <w:rPr>
          <w:rFonts w:ascii="Times New Roman" w:hAnsi="Times New Roman" w:cs="Times New Roman"/>
          <w:sz w:val="24"/>
          <w:szCs w:val="24"/>
        </w:rPr>
      </w:pPr>
    </w:p>
    <w:p w14:paraId="1C832A3B" w14:textId="0B77E1BB" w:rsidR="00C13316" w:rsidRPr="002657DF" w:rsidRDefault="00C75167" w:rsidP="002657DF">
      <w:pPr>
        <w:pStyle w:val="ListParagraph"/>
        <w:numPr>
          <w:ilvl w:val="0"/>
          <w:numId w:val="17"/>
        </w:numPr>
        <w:rPr>
          <w:rFonts w:ascii="Times New Roman" w:hAnsi="Times New Roman" w:cs="Times New Roman"/>
          <w:b/>
          <w:i/>
          <w:sz w:val="24"/>
          <w:szCs w:val="24"/>
        </w:rPr>
      </w:pPr>
      <w:r w:rsidRPr="002657DF">
        <w:rPr>
          <w:rFonts w:ascii="Times New Roman" w:hAnsi="Times New Roman" w:cs="Times New Roman"/>
          <w:b/>
          <w:i/>
          <w:sz w:val="24"/>
          <w:szCs w:val="24"/>
        </w:rPr>
        <w:t>C</w:t>
      </w:r>
      <w:r w:rsidR="00C13316" w:rsidRPr="002657DF">
        <w:rPr>
          <w:rFonts w:ascii="Times New Roman" w:hAnsi="Times New Roman" w:cs="Times New Roman"/>
          <w:b/>
          <w:i/>
          <w:sz w:val="24"/>
          <w:szCs w:val="24"/>
        </w:rPr>
        <w:t>ontribution to supporting the overall FIG-FIFCA Accord action plan</w:t>
      </w:r>
    </w:p>
    <w:p w14:paraId="1AB4EE13" w14:textId="478E6CEE" w:rsidR="0088679A" w:rsidRDefault="0088679A" w:rsidP="004E147E">
      <w:pPr>
        <w:rPr>
          <w:rFonts w:ascii="Times New Roman" w:hAnsi="Times New Roman" w:cs="Times New Roman"/>
          <w:sz w:val="24"/>
          <w:szCs w:val="24"/>
          <w:u w:val="single"/>
        </w:rPr>
      </w:pPr>
      <w:r w:rsidRPr="0088679A">
        <w:rPr>
          <w:rFonts w:ascii="Times New Roman" w:hAnsi="Times New Roman" w:cs="Times New Roman"/>
          <w:sz w:val="24"/>
          <w:szCs w:val="24"/>
          <w:u w:val="single"/>
        </w:rPr>
        <w:t>Goal:</w:t>
      </w:r>
      <w:r w:rsidRPr="00D67291">
        <w:rPr>
          <w:rFonts w:ascii="Times New Roman" w:hAnsi="Times New Roman" w:cs="Times New Roman"/>
          <w:sz w:val="24"/>
          <w:szCs w:val="24"/>
        </w:rPr>
        <w:t xml:space="preserve"> Building a competitive and successful seafood sector by delivering sustainable, profitable and socially beneficial outcomes through economic leadership, strategic investment and fostering an innovative and sustainable sector of the Falklands economy</w:t>
      </w:r>
      <w:r w:rsidR="00700202">
        <w:rPr>
          <w:rFonts w:ascii="Times New Roman" w:hAnsi="Times New Roman" w:cs="Times New Roman"/>
          <w:sz w:val="24"/>
          <w:szCs w:val="24"/>
        </w:rPr>
        <w:t>.</w:t>
      </w:r>
    </w:p>
    <w:p w14:paraId="2E466EE1" w14:textId="27D68FA0" w:rsidR="0088679A" w:rsidRPr="0088679A" w:rsidRDefault="0088679A" w:rsidP="0088679A">
      <w:pPr>
        <w:rPr>
          <w:rFonts w:ascii="Times New Roman" w:hAnsi="Times New Roman" w:cs="Times New Roman"/>
          <w:sz w:val="24"/>
          <w:szCs w:val="24"/>
          <w:u w:val="single"/>
        </w:rPr>
      </w:pPr>
      <w:r w:rsidRPr="0088679A">
        <w:rPr>
          <w:rFonts w:ascii="Times New Roman" w:hAnsi="Times New Roman" w:cs="Times New Roman"/>
          <w:sz w:val="24"/>
          <w:szCs w:val="24"/>
          <w:u w:val="single"/>
        </w:rPr>
        <w:t>Target:</w:t>
      </w:r>
      <w:r w:rsidRPr="00D67291">
        <w:rPr>
          <w:rFonts w:ascii="Times New Roman" w:hAnsi="Times New Roman" w:cs="Times New Roman"/>
          <w:sz w:val="24"/>
          <w:szCs w:val="24"/>
        </w:rPr>
        <w:t xml:space="preserve"> Be a signatory of the FIG-FIFCA Accord Action Plan (providing a signed copy), and commit to supporting the delivery of its goals.</w:t>
      </w:r>
    </w:p>
    <w:p w14:paraId="4905223C" w14:textId="6B054BB6" w:rsidR="0088679A" w:rsidRPr="0088679A" w:rsidRDefault="0088679A" w:rsidP="0088679A">
      <w:pPr>
        <w:rPr>
          <w:rFonts w:ascii="Times New Roman" w:hAnsi="Times New Roman" w:cs="Times New Roman"/>
          <w:sz w:val="24"/>
          <w:szCs w:val="24"/>
          <w:u w:val="single"/>
        </w:rPr>
      </w:pPr>
      <w:r w:rsidRPr="0088679A">
        <w:rPr>
          <w:rFonts w:ascii="Times New Roman" w:hAnsi="Times New Roman" w:cs="Times New Roman"/>
          <w:sz w:val="24"/>
          <w:szCs w:val="24"/>
          <w:u w:val="single"/>
        </w:rPr>
        <w:t xml:space="preserve">Annual </w:t>
      </w:r>
      <w:r w:rsidR="00EA2BC8">
        <w:rPr>
          <w:rFonts w:ascii="Times New Roman" w:hAnsi="Times New Roman" w:cs="Times New Roman"/>
          <w:sz w:val="24"/>
          <w:szCs w:val="24"/>
          <w:u w:val="single"/>
        </w:rPr>
        <w:t>m</w:t>
      </w:r>
      <w:r w:rsidRPr="0088679A">
        <w:rPr>
          <w:rFonts w:ascii="Times New Roman" w:hAnsi="Times New Roman" w:cs="Times New Roman"/>
          <w:sz w:val="24"/>
          <w:szCs w:val="24"/>
          <w:u w:val="single"/>
        </w:rPr>
        <w:t>ilestone:</w:t>
      </w:r>
      <w:r w:rsidRPr="00B82614">
        <w:rPr>
          <w:rFonts w:ascii="Times New Roman" w:hAnsi="Times New Roman" w:cs="Times New Roman"/>
          <w:sz w:val="24"/>
          <w:szCs w:val="24"/>
        </w:rPr>
        <w:t xml:space="preserve"> Continue to support the delivery of the FIG-FIFCA Accord Action Plan</w:t>
      </w:r>
      <w:r w:rsidR="00700202">
        <w:rPr>
          <w:rFonts w:ascii="Times New Roman" w:hAnsi="Times New Roman" w:cs="Times New Roman"/>
          <w:sz w:val="24"/>
          <w:szCs w:val="24"/>
        </w:rPr>
        <w:t>.</w:t>
      </w:r>
    </w:p>
    <w:p w14:paraId="606CB975" w14:textId="31F16AF0" w:rsidR="002657DF" w:rsidRDefault="004E147E" w:rsidP="004E147E">
      <w:pPr>
        <w:rPr>
          <w:rFonts w:ascii="Times New Roman" w:hAnsi="Times New Roman" w:cs="Times New Roman"/>
          <w:sz w:val="24"/>
          <w:szCs w:val="24"/>
        </w:rPr>
      </w:pPr>
      <w:r w:rsidRPr="001A5211">
        <w:rPr>
          <w:rFonts w:ascii="Times New Roman" w:hAnsi="Times New Roman" w:cs="Times New Roman"/>
          <w:sz w:val="24"/>
          <w:szCs w:val="24"/>
          <w:u w:val="single"/>
        </w:rPr>
        <w:t>For the annual review</w:t>
      </w:r>
      <w:r w:rsidR="008D5ED2">
        <w:rPr>
          <w:rFonts w:ascii="Times New Roman" w:hAnsi="Times New Roman" w:cs="Times New Roman"/>
          <w:sz w:val="24"/>
          <w:szCs w:val="24"/>
          <w:u w:val="single"/>
        </w:rPr>
        <w:t>:</w:t>
      </w:r>
      <w:r>
        <w:rPr>
          <w:rFonts w:ascii="Times New Roman" w:hAnsi="Times New Roman" w:cs="Times New Roman"/>
          <w:sz w:val="24"/>
          <w:szCs w:val="24"/>
        </w:rPr>
        <w:t xml:space="preserve"> </w:t>
      </w:r>
      <w:r w:rsidR="00700202">
        <w:rPr>
          <w:rFonts w:ascii="Times New Roman" w:hAnsi="Times New Roman" w:cs="Times New Roman"/>
          <w:sz w:val="24"/>
          <w:szCs w:val="24"/>
        </w:rPr>
        <w:t>T</w:t>
      </w:r>
      <w:r>
        <w:rPr>
          <w:rFonts w:ascii="Times New Roman" w:hAnsi="Times New Roman" w:cs="Times New Roman"/>
          <w:sz w:val="24"/>
          <w:szCs w:val="24"/>
        </w:rPr>
        <w:t xml:space="preserve">he Director will request a </w:t>
      </w:r>
      <w:proofErr w:type="gramStart"/>
      <w:r>
        <w:rPr>
          <w:rFonts w:ascii="Times New Roman" w:hAnsi="Times New Roman" w:cs="Times New Roman"/>
          <w:sz w:val="24"/>
          <w:szCs w:val="24"/>
        </w:rPr>
        <w:t xml:space="preserve">short </w:t>
      </w:r>
      <w:r w:rsidR="0088679A">
        <w:rPr>
          <w:rFonts w:ascii="Times New Roman" w:hAnsi="Times New Roman" w:cs="Times New Roman"/>
          <w:sz w:val="24"/>
          <w:szCs w:val="24"/>
        </w:rPr>
        <w:t>written</w:t>
      </w:r>
      <w:proofErr w:type="gramEnd"/>
      <w:r w:rsidR="0088679A">
        <w:rPr>
          <w:rFonts w:ascii="Times New Roman" w:hAnsi="Times New Roman" w:cs="Times New Roman"/>
          <w:sz w:val="24"/>
          <w:szCs w:val="24"/>
        </w:rPr>
        <w:t xml:space="preserve"> </w:t>
      </w:r>
      <w:r>
        <w:rPr>
          <w:rFonts w:ascii="Times New Roman" w:hAnsi="Times New Roman" w:cs="Times New Roman"/>
          <w:sz w:val="24"/>
          <w:szCs w:val="24"/>
        </w:rPr>
        <w:t xml:space="preserve">narrative setting out how the company has </w:t>
      </w:r>
      <w:r w:rsidR="0088679A">
        <w:rPr>
          <w:rFonts w:ascii="Times New Roman" w:hAnsi="Times New Roman" w:cs="Times New Roman"/>
          <w:sz w:val="24"/>
          <w:szCs w:val="24"/>
        </w:rPr>
        <w:t>supported the FIG-FIFCA Accord Action Plan</w:t>
      </w:r>
      <w:r>
        <w:rPr>
          <w:rFonts w:ascii="Times New Roman" w:hAnsi="Times New Roman" w:cs="Times New Roman"/>
          <w:sz w:val="24"/>
          <w:szCs w:val="24"/>
        </w:rPr>
        <w:t>. It is recognised that the contribution would be proportionate to the company’s share of the Falkland Islands fisheries</w:t>
      </w:r>
      <w:r w:rsidR="00BF101F">
        <w:rPr>
          <w:rFonts w:ascii="Times New Roman" w:hAnsi="Times New Roman" w:cs="Times New Roman"/>
          <w:sz w:val="24"/>
          <w:szCs w:val="24"/>
        </w:rPr>
        <w:t xml:space="preserve"> sector</w:t>
      </w:r>
      <w:r>
        <w:rPr>
          <w:rFonts w:ascii="Times New Roman" w:hAnsi="Times New Roman" w:cs="Times New Roman"/>
          <w:sz w:val="24"/>
          <w:szCs w:val="24"/>
        </w:rPr>
        <w:t>.</w:t>
      </w:r>
    </w:p>
    <w:p w14:paraId="20CB3AD1" w14:textId="01278582" w:rsidR="004E147E" w:rsidRPr="004E147E" w:rsidRDefault="00B82614" w:rsidP="004E147E">
      <w:pPr>
        <w:rPr>
          <w:rFonts w:ascii="Times New Roman" w:hAnsi="Times New Roman" w:cs="Times New Roman"/>
          <w:sz w:val="24"/>
          <w:szCs w:val="24"/>
        </w:rPr>
      </w:pPr>
      <w:r>
        <w:rPr>
          <w:rFonts w:ascii="Times New Roman" w:hAnsi="Times New Roman" w:cs="Times New Roman"/>
          <w:sz w:val="24"/>
          <w:szCs w:val="24"/>
        </w:rPr>
        <w:t xml:space="preserve"> </w:t>
      </w:r>
      <w:r w:rsidR="004E147E">
        <w:rPr>
          <w:rFonts w:ascii="Times New Roman" w:hAnsi="Times New Roman" w:cs="Times New Roman"/>
          <w:sz w:val="24"/>
          <w:szCs w:val="24"/>
        </w:rPr>
        <w:t xml:space="preserve"> </w:t>
      </w:r>
    </w:p>
    <w:p w14:paraId="6393CDCE" w14:textId="21FED33F" w:rsidR="00CF55C4" w:rsidRPr="002657DF" w:rsidRDefault="00C13316" w:rsidP="002657DF">
      <w:pPr>
        <w:pStyle w:val="ListParagraph"/>
        <w:numPr>
          <w:ilvl w:val="0"/>
          <w:numId w:val="17"/>
        </w:numPr>
        <w:rPr>
          <w:rFonts w:ascii="Times New Roman" w:hAnsi="Times New Roman" w:cs="Times New Roman"/>
          <w:b/>
          <w:i/>
          <w:sz w:val="24"/>
          <w:szCs w:val="24"/>
        </w:rPr>
      </w:pPr>
      <w:r w:rsidRPr="002657DF">
        <w:rPr>
          <w:rFonts w:ascii="Times New Roman" w:hAnsi="Times New Roman" w:cs="Times New Roman"/>
          <w:b/>
          <w:i/>
          <w:sz w:val="24"/>
          <w:szCs w:val="24"/>
        </w:rPr>
        <w:t xml:space="preserve">Transhipment of </w:t>
      </w:r>
      <w:r w:rsidR="00D13618">
        <w:rPr>
          <w:rFonts w:ascii="Times New Roman" w:hAnsi="Times New Roman" w:cs="Times New Roman"/>
          <w:b/>
          <w:i/>
          <w:sz w:val="24"/>
          <w:szCs w:val="24"/>
        </w:rPr>
        <w:t>product</w:t>
      </w:r>
      <w:r w:rsidR="00D13618" w:rsidRPr="002657DF">
        <w:rPr>
          <w:rFonts w:ascii="Times New Roman" w:hAnsi="Times New Roman" w:cs="Times New Roman"/>
          <w:b/>
          <w:i/>
          <w:sz w:val="24"/>
          <w:szCs w:val="24"/>
        </w:rPr>
        <w:t xml:space="preserve"> </w:t>
      </w:r>
      <w:r w:rsidRPr="002657DF">
        <w:rPr>
          <w:rFonts w:ascii="Times New Roman" w:hAnsi="Times New Roman" w:cs="Times New Roman"/>
          <w:b/>
          <w:i/>
          <w:sz w:val="24"/>
          <w:szCs w:val="24"/>
        </w:rPr>
        <w:t>through a domestic container service</w:t>
      </w:r>
    </w:p>
    <w:p w14:paraId="5CD9C3B2" w14:textId="7FEF8C79" w:rsidR="0088679A" w:rsidRPr="0088679A" w:rsidRDefault="0088679A" w:rsidP="00386460">
      <w:pPr>
        <w:rPr>
          <w:rFonts w:ascii="Times New Roman" w:hAnsi="Times New Roman" w:cs="Times New Roman"/>
          <w:sz w:val="24"/>
          <w:szCs w:val="24"/>
          <w:u w:val="single"/>
        </w:rPr>
      </w:pPr>
      <w:r w:rsidRPr="0088679A">
        <w:rPr>
          <w:rFonts w:ascii="Times New Roman" w:hAnsi="Times New Roman" w:cs="Times New Roman"/>
          <w:sz w:val="24"/>
          <w:szCs w:val="24"/>
          <w:u w:val="single"/>
        </w:rPr>
        <w:t>Goal:</w:t>
      </w:r>
      <w:r w:rsidRPr="00B82614">
        <w:rPr>
          <w:rFonts w:ascii="Times New Roman" w:hAnsi="Times New Roman" w:cs="Times New Roman"/>
          <w:sz w:val="24"/>
          <w:szCs w:val="24"/>
        </w:rPr>
        <w:t xml:space="preserve"> Building a competitive and successful seafood sector by delivering sustainable, profitable and socially beneficial outcomes through economic leadership, strategic investment and fostering an innovative and sustainable sector of the Falklands economy</w:t>
      </w:r>
      <w:r w:rsidR="00700202">
        <w:rPr>
          <w:rFonts w:ascii="Times New Roman" w:hAnsi="Times New Roman" w:cs="Times New Roman"/>
          <w:sz w:val="24"/>
          <w:szCs w:val="24"/>
        </w:rPr>
        <w:t>.</w:t>
      </w:r>
    </w:p>
    <w:p w14:paraId="2460943E" w14:textId="680487DA" w:rsidR="0088679A" w:rsidRDefault="0088679A" w:rsidP="00CF55C4">
      <w:pPr>
        <w:rPr>
          <w:rFonts w:ascii="Times New Roman" w:hAnsi="Times New Roman" w:cs="Times New Roman"/>
          <w:sz w:val="24"/>
          <w:szCs w:val="24"/>
          <w:u w:val="single"/>
        </w:rPr>
      </w:pPr>
      <w:r w:rsidRPr="0088679A">
        <w:rPr>
          <w:rFonts w:ascii="Times New Roman" w:hAnsi="Times New Roman" w:cs="Times New Roman"/>
          <w:sz w:val="24"/>
          <w:szCs w:val="24"/>
          <w:u w:val="single"/>
        </w:rPr>
        <w:t>Target:</w:t>
      </w:r>
      <w:r w:rsidRPr="00B82614">
        <w:rPr>
          <w:rFonts w:ascii="Times New Roman" w:hAnsi="Times New Roman" w:cs="Times New Roman"/>
          <w:sz w:val="24"/>
          <w:szCs w:val="24"/>
        </w:rPr>
        <w:t xml:space="preserve"> Carry out transhipment to a domestic containerisation service over the port in Stanley, Falkland Islands.</w:t>
      </w:r>
    </w:p>
    <w:p w14:paraId="217E6A89" w14:textId="2FB88594" w:rsidR="00CF55C4" w:rsidRDefault="0088679A" w:rsidP="00CF55C4">
      <w:pPr>
        <w:rPr>
          <w:rFonts w:ascii="Times New Roman" w:hAnsi="Times New Roman" w:cs="Times New Roman"/>
          <w:sz w:val="24"/>
          <w:szCs w:val="24"/>
        </w:rPr>
      </w:pPr>
      <w:r>
        <w:rPr>
          <w:rFonts w:ascii="Times New Roman" w:hAnsi="Times New Roman" w:cs="Times New Roman"/>
          <w:sz w:val="24"/>
          <w:szCs w:val="24"/>
          <w:u w:val="single"/>
        </w:rPr>
        <w:t>Annual milestone</w:t>
      </w:r>
      <w:r w:rsidR="001A5211" w:rsidRPr="001A5211">
        <w:rPr>
          <w:rFonts w:ascii="Times New Roman" w:hAnsi="Times New Roman" w:cs="Times New Roman"/>
          <w:sz w:val="24"/>
          <w:szCs w:val="24"/>
          <w:u w:val="single"/>
        </w:rPr>
        <w:t>:</w:t>
      </w:r>
      <w:r w:rsidR="001A5211">
        <w:rPr>
          <w:rFonts w:ascii="Times New Roman" w:hAnsi="Times New Roman" w:cs="Times New Roman"/>
          <w:sz w:val="24"/>
          <w:szCs w:val="24"/>
        </w:rPr>
        <w:t xml:space="preserve"> </w:t>
      </w:r>
      <w:r w:rsidR="00CF55C4">
        <w:rPr>
          <w:rFonts w:ascii="Times New Roman" w:hAnsi="Times New Roman" w:cs="Times New Roman"/>
          <w:sz w:val="24"/>
          <w:szCs w:val="24"/>
        </w:rPr>
        <w:t xml:space="preserve">Company action plans will include annual targets expressed as a percentage of their </w:t>
      </w:r>
      <w:r w:rsidR="002B0CB6">
        <w:rPr>
          <w:rFonts w:ascii="Times New Roman" w:hAnsi="Times New Roman" w:cs="Times New Roman"/>
          <w:sz w:val="24"/>
          <w:szCs w:val="24"/>
        </w:rPr>
        <w:t>‘available product’ for</w:t>
      </w:r>
      <w:r w:rsidR="00CF55C4">
        <w:rPr>
          <w:rFonts w:ascii="Times New Roman" w:hAnsi="Times New Roman" w:cs="Times New Roman"/>
          <w:sz w:val="24"/>
          <w:szCs w:val="24"/>
        </w:rPr>
        <w:t xml:space="preserve"> that season across all ITQ B licence classes</w:t>
      </w:r>
      <w:r w:rsidR="00C81DA1">
        <w:rPr>
          <w:rFonts w:ascii="Times New Roman" w:hAnsi="Times New Roman" w:cs="Times New Roman"/>
          <w:sz w:val="24"/>
          <w:szCs w:val="24"/>
        </w:rPr>
        <w:t xml:space="preserve"> for the duration of the action plan (initially, for </w:t>
      </w:r>
      <w:r w:rsidR="00386685">
        <w:rPr>
          <w:rFonts w:ascii="Times New Roman" w:hAnsi="Times New Roman" w:cs="Times New Roman"/>
          <w:sz w:val="24"/>
          <w:szCs w:val="24"/>
        </w:rPr>
        <w:t xml:space="preserve">six </w:t>
      </w:r>
      <w:r w:rsidR="00C81DA1">
        <w:rPr>
          <w:rFonts w:ascii="Times New Roman" w:hAnsi="Times New Roman" w:cs="Times New Roman"/>
          <w:sz w:val="24"/>
          <w:szCs w:val="24"/>
        </w:rPr>
        <w:t>years).</w:t>
      </w:r>
    </w:p>
    <w:p w14:paraId="67E0B532" w14:textId="69E38E50" w:rsidR="002B0CB6" w:rsidRDefault="002B0CB6" w:rsidP="00CF55C4">
      <w:pPr>
        <w:rPr>
          <w:rFonts w:ascii="Times New Roman" w:hAnsi="Times New Roman" w:cs="Times New Roman"/>
          <w:sz w:val="24"/>
          <w:szCs w:val="24"/>
        </w:rPr>
      </w:pPr>
      <w:r>
        <w:rPr>
          <w:rFonts w:ascii="Times New Roman" w:hAnsi="Times New Roman" w:cs="Times New Roman"/>
          <w:sz w:val="24"/>
          <w:szCs w:val="24"/>
        </w:rPr>
        <w:t>The basis of the calculation is as follows</w:t>
      </w:r>
      <w:r w:rsidR="00C13BFB">
        <w:rPr>
          <w:rFonts w:ascii="Times New Roman" w:hAnsi="Times New Roman" w:cs="Times New Roman"/>
          <w:sz w:val="24"/>
          <w:szCs w:val="24"/>
        </w:rPr>
        <w:t>, for each eligible company, for each year</w:t>
      </w:r>
      <w:r>
        <w:rPr>
          <w:rFonts w:ascii="Times New Roman" w:hAnsi="Times New Roman" w:cs="Times New Roman"/>
          <w:sz w:val="24"/>
          <w:szCs w:val="24"/>
        </w:rPr>
        <w:t>:</w:t>
      </w:r>
    </w:p>
    <w:p w14:paraId="56742A04" w14:textId="432ADEE1" w:rsidR="00C13BFB" w:rsidRPr="00C13BFB" w:rsidRDefault="00C13BFB" w:rsidP="002657DF">
      <w:pPr>
        <w:ind w:left="720"/>
        <w:rPr>
          <w:rFonts w:ascii="Times New Roman" w:hAnsi="Times New Roman" w:cs="Times New Roman"/>
          <w:sz w:val="24"/>
          <w:szCs w:val="24"/>
        </w:rPr>
      </w:pPr>
      <w:r w:rsidRPr="00C13BFB">
        <w:rPr>
          <w:rFonts w:ascii="Times New Roman" w:hAnsi="Times New Roman" w:cs="Times New Roman"/>
          <w:b/>
          <w:sz w:val="24"/>
          <w:szCs w:val="24"/>
        </w:rPr>
        <w:t>Total Annual Product (not green weight)</w:t>
      </w:r>
      <w:r w:rsidRPr="00C13BFB">
        <w:rPr>
          <w:rFonts w:ascii="Times New Roman" w:hAnsi="Times New Roman" w:cs="Times New Roman"/>
          <w:sz w:val="24"/>
          <w:szCs w:val="24"/>
        </w:rPr>
        <w:t xml:space="preserve">: all product caught by all </w:t>
      </w:r>
      <w:r>
        <w:rPr>
          <w:rFonts w:ascii="Times New Roman" w:hAnsi="Times New Roman" w:cs="Times New Roman"/>
          <w:sz w:val="24"/>
          <w:szCs w:val="24"/>
        </w:rPr>
        <w:t>vessels</w:t>
      </w:r>
      <w:r w:rsidRPr="00C13BFB">
        <w:rPr>
          <w:rFonts w:ascii="Times New Roman" w:hAnsi="Times New Roman" w:cs="Times New Roman"/>
          <w:sz w:val="24"/>
          <w:szCs w:val="24"/>
        </w:rPr>
        <w:t xml:space="preserve"> licensed</w:t>
      </w:r>
      <w:r>
        <w:rPr>
          <w:rFonts w:ascii="Times New Roman" w:hAnsi="Times New Roman" w:cs="Times New Roman"/>
          <w:sz w:val="24"/>
          <w:szCs w:val="24"/>
        </w:rPr>
        <w:t xml:space="preserve"> to fish </w:t>
      </w:r>
      <w:r w:rsidR="00506E93">
        <w:rPr>
          <w:rFonts w:ascii="Times New Roman" w:hAnsi="Times New Roman" w:cs="Times New Roman"/>
          <w:sz w:val="24"/>
          <w:szCs w:val="24"/>
        </w:rPr>
        <w:t>C</w:t>
      </w:r>
      <w:r>
        <w:rPr>
          <w:rFonts w:ascii="Times New Roman" w:hAnsi="Times New Roman" w:cs="Times New Roman"/>
          <w:sz w:val="24"/>
          <w:szCs w:val="24"/>
        </w:rPr>
        <w:t xml:space="preserve">atch </w:t>
      </w:r>
      <w:r w:rsidR="00506E93">
        <w:rPr>
          <w:rFonts w:ascii="Times New Roman" w:hAnsi="Times New Roman" w:cs="Times New Roman"/>
          <w:sz w:val="24"/>
          <w:szCs w:val="24"/>
        </w:rPr>
        <w:t>E</w:t>
      </w:r>
      <w:r>
        <w:rPr>
          <w:rFonts w:ascii="Times New Roman" w:hAnsi="Times New Roman" w:cs="Times New Roman"/>
          <w:sz w:val="24"/>
          <w:szCs w:val="24"/>
        </w:rPr>
        <w:t>ntitlement owned by the eligible company</w:t>
      </w:r>
      <w:r w:rsidRPr="00C13BFB">
        <w:rPr>
          <w:rFonts w:ascii="Times New Roman" w:hAnsi="Times New Roman" w:cs="Times New Roman"/>
          <w:sz w:val="24"/>
          <w:szCs w:val="24"/>
        </w:rPr>
        <w:t xml:space="preserve"> </w:t>
      </w:r>
      <w:r w:rsidR="00FC0BD2">
        <w:rPr>
          <w:rFonts w:ascii="Times New Roman" w:hAnsi="Times New Roman" w:cs="Times New Roman"/>
          <w:sz w:val="24"/>
          <w:szCs w:val="24"/>
        </w:rPr>
        <w:t xml:space="preserve">within a calendar year </w:t>
      </w:r>
      <w:r w:rsidRPr="00C13BFB">
        <w:rPr>
          <w:rFonts w:ascii="Times New Roman" w:hAnsi="Times New Roman" w:cs="Times New Roman"/>
          <w:sz w:val="24"/>
          <w:szCs w:val="24"/>
        </w:rPr>
        <w:t xml:space="preserve">= A. </w:t>
      </w:r>
    </w:p>
    <w:p w14:paraId="6915A67A" w14:textId="130E5567" w:rsidR="00C13BFB" w:rsidRPr="00C13BFB" w:rsidRDefault="00C13BFB" w:rsidP="002657DF">
      <w:pPr>
        <w:ind w:left="720"/>
        <w:rPr>
          <w:rFonts w:ascii="Times New Roman" w:hAnsi="Times New Roman" w:cs="Times New Roman"/>
          <w:sz w:val="24"/>
          <w:szCs w:val="24"/>
        </w:rPr>
      </w:pPr>
      <w:r w:rsidRPr="00C13BFB">
        <w:rPr>
          <w:rFonts w:ascii="Times New Roman" w:hAnsi="Times New Roman" w:cs="Times New Roman"/>
          <w:b/>
          <w:sz w:val="24"/>
          <w:szCs w:val="24"/>
        </w:rPr>
        <w:t>Exempt Total Annual Product</w:t>
      </w:r>
      <w:r w:rsidRPr="00C13BFB">
        <w:rPr>
          <w:rFonts w:ascii="Times New Roman" w:hAnsi="Times New Roman" w:cs="Times New Roman"/>
          <w:sz w:val="24"/>
          <w:szCs w:val="24"/>
        </w:rPr>
        <w:t>: the total annual product carried to</w:t>
      </w:r>
      <w:r w:rsidR="002B23E9">
        <w:rPr>
          <w:rFonts w:ascii="Times New Roman" w:hAnsi="Times New Roman" w:cs="Times New Roman"/>
          <w:sz w:val="24"/>
          <w:szCs w:val="24"/>
        </w:rPr>
        <w:t xml:space="preserve"> a</w:t>
      </w:r>
      <w:r w:rsidRPr="00C13BFB">
        <w:rPr>
          <w:rFonts w:ascii="Times New Roman" w:hAnsi="Times New Roman" w:cs="Times New Roman"/>
          <w:sz w:val="24"/>
          <w:szCs w:val="24"/>
        </w:rPr>
        <w:t xml:space="preserve"> </w:t>
      </w:r>
      <w:r w:rsidR="00711CC7">
        <w:rPr>
          <w:rFonts w:ascii="Times New Roman" w:hAnsi="Times New Roman" w:cs="Times New Roman"/>
          <w:sz w:val="24"/>
          <w:szCs w:val="24"/>
        </w:rPr>
        <w:t>destination</w:t>
      </w:r>
      <w:r w:rsidR="002B23E9">
        <w:rPr>
          <w:rFonts w:ascii="Times New Roman" w:hAnsi="Times New Roman" w:cs="Times New Roman"/>
          <w:sz w:val="24"/>
          <w:szCs w:val="24"/>
        </w:rPr>
        <w:t xml:space="preserve"> other than </w:t>
      </w:r>
      <w:r w:rsidR="00386460">
        <w:rPr>
          <w:rFonts w:ascii="Times New Roman" w:hAnsi="Times New Roman" w:cs="Times New Roman"/>
          <w:sz w:val="24"/>
          <w:szCs w:val="24"/>
        </w:rPr>
        <w:t xml:space="preserve">a port in </w:t>
      </w:r>
      <w:r w:rsidR="002B23E9">
        <w:rPr>
          <w:rFonts w:ascii="Times New Roman" w:hAnsi="Times New Roman" w:cs="Times New Roman"/>
          <w:sz w:val="24"/>
          <w:szCs w:val="24"/>
        </w:rPr>
        <w:t xml:space="preserve">Stanley </w:t>
      </w:r>
      <w:r w:rsidRPr="00C13BFB">
        <w:rPr>
          <w:rFonts w:ascii="Times New Roman" w:hAnsi="Times New Roman" w:cs="Times New Roman"/>
          <w:sz w:val="24"/>
          <w:szCs w:val="24"/>
        </w:rPr>
        <w:t>in the hold of each fishing vessel licensed to fish the Catch Entitlement</w:t>
      </w:r>
      <w:r w:rsidR="00D67291">
        <w:rPr>
          <w:rFonts w:ascii="Times New Roman" w:hAnsi="Times New Roman" w:cs="Times New Roman"/>
          <w:sz w:val="24"/>
          <w:szCs w:val="24"/>
        </w:rPr>
        <w:t xml:space="preserve"> that is</w:t>
      </w:r>
      <w:r w:rsidR="00386460">
        <w:rPr>
          <w:rFonts w:ascii="Times New Roman" w:hAnsi="Times New Roman" w:cs="Times New Roman"/>
          <w:sz w:val="24"/>
          <w:szCs w:val="24"/>
        </w:rPr>
        <w:t xml:space="preserve"> exempted by the Director for the purposes of calculating the company’s transhipment target</w:t>
      </w:r>
      <w:r w:rsidRPr="00C13BFB">
        <w:rPr>
          <w:rFonts w:ascii="Times New Roman" w:hAnsi="Times New Roman" w:cs="Times New Roman"/>
          <w:sz w:val="24"/>
          <w:szCs w:val="24"/>
        </w:rPr>
        <w:t xml:space="preserve"> = B. </w:t>
      </w:r>
    </w:p>
    <w:p w14:paraId="0C3B4D68" w14:textId="19A51A1E" w:rsidR="00C13BFB" w:rsidRDefault="00C13BFB" w:rsidP="00C13BFB">
      <w:pPr>
        <w:ind w:left="720"/>
        <w:rPr>
          <w:rFonts w:ascii="Times New Roman" w:hAnsi="Times New Roman" w:cs="Times New Roman"/>
          <w:sz w:val="24"/>
          <w:szCs w:val="24"/>
        </w:rPr>
      </w:pPr>
      <w:r w:rsidRPr="002657DF">
        <w:rPr>
          <w:rFonts w:ascii="Times New Roman" w:hAnsi="Times New Roman" w:cs="Times New Roman"/>
          <w:b/>
          <w:sz w:val="24"/>
          <w:szCs w:val="24"/>
        </w:rPr>
        <w:lastRenderedPageBreak/>
        <w:t>Available Product</w:t>
      </w:r>
      <w:r w:rsidRPr="00D94E8A">
        <w:rPr>
          <w:rFonts w:ascii="Times New Roman" w:hAnsi="Times New Roman" w:cs="Times New Roman"/>
          <w:sz w:val="24"/>
          <w:szCs w:val="24"/>
        </w:rPr>
        <w:t xml:space="preserve"> = A – B. </w:t>
      </w:r>
    </w:p>
    <w:p w14:paraId="6DE7C291" w14:textId="75517EF9" w:rsidR="00C13BFB" w:rsidRPr="00D94E8A" w:rsidRDefault="00103D53" w:rsidP="002657DF">
      <w:pPr>
        <w:ind w:left="720"/>
        <w:rPr>
          <w:rFonts w:ascii="Times New Roman" w:hAnsi="Times New Roman" w:cs="Times New Roman"/>
          <w:sz w:val="24"/>
          <w:szCs w:val="24"/>
        </w:rPr>
      </w:pPr>
      <w:r w:rsidRPr="002657DF">
        <w:rPr>
          <w:rFonts w:ascii="Times New Roman" w:hAnsi="Times New Roman" w:cs="Times New Roman"/>
          <w:b/>
          <w:sz w:val="24"/>
          <w:szCs w:val="24"/>
        </w:rPr>
        <w:t>Target</w:t>
      </w:r>
      <w:r>
        <w:rPr>
          <w:rFonts w:ascii="Times New Roman" w:hAnsi="Times New Roman" w:cs="Times New Roman"/>
          <w:sz w:val="24"/>
          <w:szCs w:val="24"/>
        </w:rPr>
        <w:t xml:space="preserve"> is X% of Available Product being transhipped through a domestic container service.</w:t>
      </w:r>
    </w:p>
    <w:p w14:paraId="75A373AE" w14:textId="5AC67613" w:rsidR="00C13BFB" w:rsidRDefault="00C13BFB" w:rsidP="00C13BFB">
      <w:pPr>
        <w:rPr>
          <w:rFonts w:ascii="Times New Roman" w:hAnsi="Times New Roman" w:cs="Times New Roman"/>
          <w:sz w:val="24"/>
          <w:szCs w:val="24"/>
        </w:rPr>
      </w:pPr>
      <w:r>
        <w:rPr>
          <w:rFonts w:ascii="Times New Roman" w:hAnsi="Times New Roman" w:cs="Times New Roman"/>
          <w:sz w:val="24"/>
          <w:szCs w:val="24"/>
        </w:rPr>
        <w:t>The</w:t>
      </w:r>
      <w:r w:rsidRPr="00C13BFB">
        <w:rPr>
          <w:rFonts w:ascii="Times New Roman" w:hAnsi="Times New Roman" w:cs="Times New Roman"/>
          <w:sz w:val="24"/>
          <w:szCs w:val="24"/>
        </w:rPr>
        <w:t xml:space="preserve"> actual volume </w:t>
      </w:r>
      <w:r>
        <w:rPr>
          <w:rFonts w:ascii="Times New Roman" w:hAnsi="Times New Roman" w:cs="Times New Roman"/>
          <w:sz w:val="24"/>
          <w:szCs w:val="24"/>
        </w:rPr>
        <w:t xml:space="preserve">(in metric tonnes) </w:t>
      </w:r>
      <w:r w:rsidRPr="00C13BFB">
        <w:rPr>
          <w:rFonts w:ascii="Times New Roman" w:hAnsi="Times New Roman" w:cs="Times New Roman"/>
          <w:sz w:val="24"/>
          <w:szCs w:val="24"/>
        </w:rPr>
        <w:t xml:space="preserve">carried in the hold of each vessel will be used </w:t>
      </w:r>
      <w:r w:rsidR="002B23E9">
        <w:rPr>
          <w:rFonts w:ascii="Times New Roman" w:hAnsi="Times New Roman" w:cs="Times New Roman"/>
          <w:sz w:val="24"/>
          <w:szCs w:val="24"/>
        </w:rPr>
        <w:t xml:space="preserve">to </w:t>
      </w:r>
      <w:r w:rsidRPr="00C13BFB">
        <w:rPr>
          <w:rFonts w:ascii="Times New Roman" w:hAnsi="Times New Roman" w:cs="Times New Roman"/>
          <w:sz w:val="24"/>
          <w:szCs w:val="24"/>
        </w:rPr>
        <w:t>calculat</w:t>
      </w:r>
      <w:r w:rsidR="002B23E9">
        <w:rPr>
          <w:rFonts w:ascii="Times New Roman" w:hAnsi="Times New Roman" w:cs="Times New Roman"/>
          <w:sz w:val="24"/>
          <w:szCs w:val="24"/>
        </w:rPr>
        <w:t>e the exempt product</w:t>
      </w:r>
      <w:r w:rsidRPr="00C13BFB">
        <w:rPr>
          <w:rFonts w:ascii="Times New Roman" w:hAnsi="Times New Roman" w:cs="Times New Roman"/>
          <w:sz w:val="24"/>
          <w:szCs w:val="24"/>
        </w:rPr>
        <w:t xml:space="preserve">, </w:t>
      </w:r>
      <w:r w:rsidRPr="002657DF">
        <w:rPr>
          <w:rFonts w:ascii="Times New Roman" w:hAnsi="Times New Roman" w:cs="Times New Roman"/>
          <w:i/>
          <w:sz w:val="24"/>
          <w:szCs w:val="24"/>
        </w:rPr>
        <w:t xml:space="preserve">not </w:t>
      </w:r>
      <w:r w:rsidRPr="00C13BFB">
        <w:rPr>
          <w:rFonts w:ascii="Times New Roman" w:hAnsi="Times New Roman" w:cs="Times New Roman"/>
          <w:sz w:val="24"/>
          <w:szCs w:val="24"/>
        </w:rPr>
        <w:t>the hold capacity of the vessel, as this will not necessarily be filled due to vessel stability and safety requirements.</w:t>
      </w:r>
      <w:r>
        <w:rPr>
          <w:rFonts w:ascii="Times New Roman" w:hAnsi="Times New Roman" w:cs="Times New Roman"/>
          <w:sz w:val="24"/>
          <w:szCs w:val="24"/>
        </w:rPr>
        <w:t xml:space="preserve"> </w:t>
      </w:r>
      <w:r w:rsidRPr="002657DF">
        <w:rPr>
          <w:rFonts w:ascii="Times New Roman" w:hAnsi="Times New Roman" w:cs="Times New Roman"/>
          <w:sz w:val="24"/>
          <w:szCs w:val="24"/>
        </w:rPr>
        <w:t xml:space="preserve">Each vessel is entitled to </w:t>
      </w:r>
      <w:r w:rsidRPr="002657DF">
        <w:rPr>
          <w:rFonts w:ascii="Times New Roman" w:hAnsi="Times New Roman" w:cs="Times New Roman"/>
          <w:b/>
          <w:bCs/>
          <w:sz w:val="24"/>
          <w:szCs w:val="24"/>
        </w:rPr>
        <w:t>one hold</w:t>
      </w:r>
      <w:r w:rsidRPr="002657DF">
        <w:rPr>
          <w:rFonts w:ascii="Times New Roman" w:hAnsi="Times New Roman" w:cs="Times New Roman"/>
          <w:sz w:val="24"/>
          <w:szCs w:val="24"/>
        </w:rPr>
        <w:t xml:space="preserve"> of exempted product per fishing season that it is licensed to fish (so for a vessel licensed to catch Loligo that would be </w:t>
      </w:r>
      <w:r>
        <w:rPr>
          <w:rFonts w:ascii="Times New Roman" w:hAnsi="Times New Roman" w:cs="Times New Roman"/>
          <w:sz w:val="24"/>
          <w:szCs w:val="24"/>
        </w:rPr>
        <w:t>two</w:t>
      </w:r>
      <w:r w:rsidRPr="002657DF">
        <w:rPr>
          <w:rFonts w:ascii="Times New Roman" w:hAnsi="Times New Roman" w:cs="Times New Roman"/>
          <w:sz w:val="24"/>
          <w:szCs w:val="24"/>
        </w:rPr>
        <w:t xml:space="preserve"> seasons in any year; for all other finfish licensed vessels, that would be </w:t>
      </w:r>
      <w:r>
        <w:rPr>
          <w:rFonts w:ascii="Times New Roman" w:hAnsi="Times New Roman" w:cs="Times New Roman"/>
          <w:sz w:val="24"/>
          <w:szCs w:val="24"/>
        </w:rPr>
        <w:t>one).</w:t>
      </w:r>
    </w:p>
    <w:p w14:paraId="2F89B935" w14:textId="6E262F65" w:rsidR="00103D53" w:rsidRDefault="00CF55C4" w:rsidP="00CF55C4">
      <w:pPr>
        <w:rPr>
          <w:rFonts w:ascii="Times New Roman" w:hAnsi="Times New Roman" w:cs="Times New Roman"/>
          <w:sz w:val="24"/>
          <w:szCs w:val="24"/>
        </w:rPr>
      </w:pPr>
      <w:r>
        <w:rPr>
          <w:rFonts w:ascii="Times New Roman" w:hAnsi="Times New Roman" w:cs="Times New Roman"/>
          <w:sz w:val="24"/>
          <w:szCs w:val="24"/>
        </w:rPr>
        <w:t xml:space="preserve">The target will </w:t>
      </w:r>
      <w:r w:rsidR="00103D53">
        <w:rPr>
          <w:rFonts w:ascii="Times New Roman" w:hAnsi="Times New Roman" w:cs="Times New Roman"/>
          <w:sz w:val="24"/>
          <w:szCs w:val="24"/>
        </w:rPr>
        <w:t xml:space="preserve">be set as follows: </w:t>
      </w:r>
    </w:p>
    <w:tbl>
      <w:tblPr>
        <w:tblStyle w:val="TableGrid"/>
        <w:tblW w:w="0" w:type="auto"/>
        <w:tblInd w:w="720" w:type="dxa"/>
        <w:tblLook w:val="04A0" w:firstRow="1" w:lastRow="0" w:firstColumn="1" w:lastColumn="0" w:noHBand="0" w:noVBand="1"/>
      </w:tblPr>
      <w:tblGrid>
        <w:gridCol w:w="2331"/>
        <w:gridCol w:w="2331"/>
      </w:tblGrid>
      <w:tr w:rsidR="00103D53" w:rsidRPr="00103D53" w14:paraId="7BEE5749" w14:textId="77777777" w:rsidTr="002657DF">
        <w:tc>
          <w:tcPr>
            <w:tcW w:w="2331" w:type="dxa"/>
            <w:tcBorders>
              <w:top w:val="single" w:sz="4" w:space="0" w:color="auto"/>
              <w:left w:val="single" w:sz="4" w:space="0" w:color="auto"/>
              <w:bottom w:val="single" w:sz="4" w:space="0" w:color="auto"/>
              <w:right w:val="single" w:sz="4" w:space="0" w:color="auto"/>
            </w:tcBorders>
            <w:hideMark/>
          </w:tcPr>
          <w:p w14:paraId="301D1521" w14:textId="77777777" w:rsidR="00103D53" w:rsidRPr="00103D53" w:rsidRDefault="00103D53" w:rsidP="002657DF">
            <w:pPr>
              <w:spacing w:after="160" w:line="259" w:lineRule="auto"/>
              <w:jc w:val="center"/>
              <w:rPr>
                <w:rFonts w:ascii="Times New Roman" w:hAnsi="Times New Roman" w:cs="Times New Roman"/>
                <w:b/>
                <w:sz w:val="24"/>
                <w:szCs w:val="24"/>
              </w:rPr>
            </w:pPr>
            <w:r w:rsidRPr="00103D53">
              <w:rPr>
                <w:rFonts w:ascii="Times New Roman" w:hAnsi="Times New Roman" w:cs="Times New Roman"/>
                <w:b/>
                <w:sz w:val="24"/>
                <w:szCs w:val="24"/>
              </w:rPr>
              <w:t>Year</w:t>
            </w:r>
          </w:p>
        </w:tc>
        <w:tc>
          <w:tcPr>
            <w:tcW w:w="2331" w:type="dxa"/>
            <w:tcBorders>
              <w:top w:val="single" w:sz="4" w:space="0" w:color="auto"/>
              <w:left w:val="single" w:sz="4" w:space="0" w:color="auto"/>
              <w:bottom w:val="single" w:sz="4" w:space="0" w:color="auto"/>
              <w:right w:val="single" w:sz="4" w:space="0" w:color="auto"/>
            </w:tcBorders>
            <w:hideMark/>
          </w:tcPr>
          <w:p w14:paraId="66C0579F" w14:textId="733C6327" w:rsidR="00103D53" w:rsidRPr="00103D53" w:rsidRDefault="00103D53" w:rsidP="002657DF">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Target (as % o</w:t>
            </w:r>
            <w:r w:rsidRPr="00103D53">
              <w:rPr>
                <w:rFonts w:ascii="Times New Roman" w:hAnsi="Times New Roman" w:cs="Times New Roman"/>
                <w:b/>
                <w:sz w:val="24"/>
                <w:szCs w:val="24"/>
              </w:rPr>
              <w:t>f Available Product</w:t>
            </w:r>
            <w:r>
              <w:rPr>
                <w:rFonts w:ascii="Times New Roman" w:hAnsi="Times New Roman" w:cs="Times New Roman"/>
                <w:b/>
                <w:sz w:val="24"/>
                <w:szCs w:val="24"/>
              </w:rPr>
              <w:t>)</w:t>
            </w:r>
          </w:p>
        </w:tc>
      </w:tr>
      <w:tr w:rsidR="00103D53" w:rsidRPr="00103D53" w14:paraId="7FEE1E17" w14:textId="77777777" w:rsidTr="002657DF">
        <w:tc>
          <w:tcPr>
            <w:tcW w:w="2331" w:type="dxa"/>
            <w:tcBorders>
              <w:top w:val="single" w:sz="4" w:space="0" w:color="auto"/>
              <w:left w:val="single" w:sz="4" w:space="0" w:color="auto"/>
              <w:bottom w:val="single" w:sz="4" w:space="0" w:color="auto"/>
              <w:right w:val="single" w:sz="4" w:space="0" w:color="auto"/>
            </w:tcBorders>
            <w:hideMark/>
          </w:tcPr>
          <w:p w14:paraId="01977446"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2023</w:t>
            </w:r>
          </w:p>
        </w:tc>
        <w:tc>
          <w:tcPr>
            <w:tcW w:w="2331" w:type="dxa"/>
            <w:tcBorders>
              <w:top w:val="single" w:sz="4" w:space="0" w:color="auto"/>
              <w:left w:val="single" w:sz="4" w:space="0" w:color="auto"/>
              <w:bottom w:val="single" w:sz="4" w:space="0" w:color="auto"/>
              <w:right w:val="single" w:sz="4" w:space="0" w:color="auto"/>
            </w:tcBorders>
            <w:hideMark/>
          </w:tcPr>
          <w:p w14:paraId="2A545282"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30</w:t>
            </w:r>
          </w:p>
        </w:tc>
      </w:tr>
      <w:tr w:rsidR="00103D53" w:rsidRPr="00103D53" w14:paraId="3978DA65" w14:textId="77777777" w:rsidTr="002657DF">
        <w:tc>
          <w:tcPr>
            <w:tcW w:w="2331" w:type="dxa"/>
            <w:tcBorders>
              <w:top w:val="single" w:sz="4" w:space="0" w:color="auto"/>
              <w:left w:val="single" w:sz="4" w:space="0" w:color="auto"/>
              <w:bottom w:val="single" w:sz="4" w:space="0" w:color="auto"/>
              <w:right w:val="single" w:sz="4" w:space="0" w:color="auto"/>
            </w:tcBorders>
            <w:hideMark/>
          </w:tcPr>
          <w:p w14:paraId="6D054E07"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2024</w:t>
            </w:r>
          </w:p>
        </w:tc>
        <w:tc>
          <w:tcPr>
            <w:tcW w:w="2331" w:type="dxa"/>
            <w:tcBorders>
              <w:top w:val="single" w:sz="4" w:space="0" w:color="auto"/>
              <w:left w:val="single" w:sz="4" w:space="0" w:color="auto"/>
              <w:bottom w:val="single" w:sz="4" w:space="0" w:color="auto"/>
              <w:right w:val="single" w:sz="4" w:space="0" w:color="auto"/>
            </w:tcBorders>
            <w:hideMark/>
          </w:tcPr>
          <w:p w14:paraId="7F8F59E6"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30</w:t>
            </w:r>
          </w:p>
        </w:tc>
      </w:tr>
      <w:tr w:rsidR="00103D53" w:rsidRPr="00103D53" w14:paraId="77EE3A2E" w14:textId="77777777" w:rsidTr="002657DF">
        <w:tc>
          <w:tcPr>
            <w:tcW w:w="2331" w:type="dxa"/>
            <w:tcBorders>
              <w:top w:val="single" w:sz="4" w:space="0" w:color="auto"/>
              <w:left w:val="single" w:sz="4" w:space="0" w:color="auto"/>
              <w:bottom w:val="single" w:sz="4" w:space="0" w:color="auto"/>
              <w:right w:val="single" w:sz="4" w:space="0" w:color="auto"/>
            </w:tcBorders>
            <w:hideMark/>
          </w:tcPr>
          <w:p w14:paraId="6C5F28AF"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2025</w:t>
            </w:r>
          </w:p>
        </w:tc>
        <w:tc>
          <w:tcPr>
            <w:tcW w:w="2331" w:type="dxa"/>
            <w:tcBorders>
              <w:top w:val="single" w:sz="4" w:space="0" w:color="auto"/>
              <w:left w:val="single" w:sz="4" w:space="0" w:color="auto"/>
              <w:bottom w:val="single" w:sz="4" w:space="0" w:color="auto"/>
              <w:right w:val="single" w:sz="4" w:space="0" w:color="auto"/>
            </w:tcBorders>
            <w:hideMark/>
          </w:tcPr>
          <w:p w14:paraId="19A8B32B"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32*</w:t>
            </w:r>
          </w:p>
        </w:tc>
      </w:tr>
      <w:tr w:rsidR="00103D53" w:rsidRPr="00103D53" w14:paraId="30F345F3" w14:textId="77777777" w:rsidTr="002657DF">
        <w:tc>
          <w:tcPr>
            <w:tcW w:w="2331" w:type="dxa"/>
            <w:tcBorders>
              <w:top w:val="single" w:sz="4" w:space="0" w:color="auto"/>
              <w:left w:val="single" w:sz="4" w:space="0" w:color="auto"/>
              <w:bottom w:val="single" w:sz="4" w:space="0" w:color="auto"/>
              <w:right w:val="single" w:sz="4" w:space="0" w:color="auto"/>
            </w:tcBorders>
            <w:hideMark/>
          </w:tcPr>
          <w:p w14:paraId="093AF472"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2026</w:t>
            </w:r>
          </w:p>
        </w:tc>
        <w:tc>
          <w:tcPr>
            <w:tcW w:w="2331" w:type="dxa"/>
            <w:tcBorders>
              <w:top w:val="single" w:sz="4" w:space="0" w:color="auto"/>
              <w:left w:val="single" w:sz="4" w:space="0" w:color="auto"/>
              <w:bottom w:val="single" w:sz="4" w:space="0" w:color="auto"/>
              <w:right w:val="single" w:sz="4" w:space="0" w:color="auto"/>
            </w:tcBorders>
            <w:hideMark/>
          </w:tcPr>
          <w:p w14:paraId="35C06519"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32*</w:t>
            </w:r>
          </w:p>
        </w:tc>
      </w:tr>
      <w:tr w:rsidR="00103D53" w:rsidRPr="00103D53" w14:paraId="2B657277" w14:textId="77777777" w:rsidTr="002657DF">
        <w:tc>
          <w:tcPr>
            <w:tcW w:w="2331" w:type="dxa"/>
            <w:tcBorders>
              <w:top w:val="single" w:sz="4" w:space="0" w:color="auto"/>
              <w:left w:val="single" w:sz="4" w:space="0" w:color="auto"/>
              <w:bottom w:val="single" w:sz="4" w:space="0" w:color="auto"/>
              <w:right w:val="single" w:sz="4" w:space="0" w:color="auto"/>
            </w:tcBorders>
            <w:hideMark/>
          </w:tcPr>
          <w:p w14:paraId="7FCF5B42"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2027</w:t>
            </w:r>
          </w:p>
        </w:tc>
        <w:tc>
          <w:tcPr>
            <w:tcW w:w="2331" w:type="dxa"/>
            <w:tcBorders>
              <w:top w:val="single" w:sz="4" w:space="0" w:color="auto"/>
              <w:left w:val="single" w:sz="4" w:space="0" w:color="auto"/>
              <w:bottom w:val="single" w:sz="4" w:space="0" w:color="auto"/>
              <w:right w:val="single" w:sz="4" w:space="0" w:color="auto"/>
            </w:tcBorders>
            <w:hideMark/>
          </w:tcPr>
          <w:p w14:paraId="50ECE6F7"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34*</w:t>
            </w:r>
          </w:p>
        </w:tc>
      </w:tr>
      <w:tr w:rsidR="00103D53" w:rsidRPr="00103D53" w14:paraId="1BF5382F" w14:textId="77777777" w:rsidTr="002657DF">
        <w:tc>
          <w:tcPr>
            <w:tcW w:w="2331" w:type="dxa"/>
            <w:tcBorders>
              <w:top w:val="single" w:sz="4" w:space="0" w:color="auto"/>
              <w:left w:val="single" w:sz="4" w:space="0" w:color="auto"/>
              <w:bottom w:val="single" w:sz="4" w:space="0" w:color="auto"/>
              <w:right w:val="single" w:sz="4" w:space="0" w:color="auto"/>
            </w:tcBorders>
            <w:hideMark/>
          </w:tcPr>
          <w:p w14:paraId="6DE505CF"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2028</w:t>
            </w:r>
          </w:p>
        </w:tc>
        <w:tc>
          <w:tcPr>
            <w:tcW w:w="2331" w:type="dxa"/>
            <w:tcBorders>
              <w:top w:val="single" w:sz="4" w:space="0" w:color="auto"/>
              <w:left w:val="single" w:sz="4" w:space="0" w:color="auto"/>
              <w:bottom w:val="single" w:sz="4" w:space="0" w:color="auto"/>
              <w:right w:val="single" w:sz="4" w:space="0" w:color="auto"/>
            </w:tcBorders>
            <w:hideMark/>
          </w:tcPr>
          <w:p w14:paraId="061CDA74" w14:textId="77777777" w:rsidR="00103D53" w:rsidRPr="00103D53" w:rsidRDefault="00103D53" w:rsidP="002657DF">
            <w:pPr>
              <w:spacing w:after="160" w:line="259" w:lineRule="auto"/>
              <w:jc w:val="center"/>
              <w:rPr>
                <w:rFonts w:ascii="Times New Roman" w:hAnsi="Times New Roman" w:cs="Times New Roman"/>
                <w:sz w:val="24"/>
                <w:szCs w:val="24"/>
              </w:rPr>
            </w:pPr>
            <w:r w:rsidRPr="00103D53">
              <w:rPr>
                <w:rFonts w:ascii="Times New Roman" w:hAnsi="Times New Roman" w:cs="Times New Roman"/>
                <w:sz w:val="24"/>
                <w:szCs w:val="24"/>
              </w:rPr>
              <w:t>34*</w:t>
            </w:r>
          </w:p>
        </w:tc>
      </w:tr>
    </w:tbl>
    <w:p w14:paraId="34F8080D" w14:textId="4D099CF1" w:rsidR="00103D53" w:rsidRDefault="00103D53" w:rsidP="00700202">
      <w:pPr>
        <w:spacing w:before="240"/>
        <w:rPr>
          <w:rFonts w:ascii="Times New Roman" w:hAnsi="Times New Roman" w:cs="Times New Roman"/>
          <w:sz w:val="24"/>
          <w:szCs w:val="24"/>
        </w:rPr>
      </w:pPr>
      <w:r>
        <w:rPr>
          <w:rFonts w:ascii="Times New Roman" w:hAnsi="Times New Roman" w:cs="Times New Roman"/>
          <w:sz w:val="24"/>
          <w:szCs w:val="24"/>
        </w:rPr>
        <w:t>If the new port in Stanley is not operational before the start of 202</w:t>
      </w:r>
      <w:r w:rsidR="00D13618">
        <w:rPr>
          <w:rFonts w:ascii="Times New Roman" w:hAnsi="Times New Roman" w:cs="Times New Roman"/>
          <w:sz w:val="24"/>
          <w:szCs w:val="24"/>
        </w:rPr>
        <w:t>5</w:t>
      </w:r>
      <w:r>
        <w:rPr>
          <w:rFonts w:ascii="Times New Roman" w:hAnsi="Times New Roman" w:cs="Times New Roman"/>
          <w:sz w:val="24"/>
          <w:szCs w:val="24"/>
        </w:rPr>
        <w:t>, the target will remain at 30%. When the new port is operational the target will rise by 2% for the following year, and a further 2% two years later.</w:t>
      </w:r>
    </w:p>
    <w:p w14:paraId="7211850A" w14:textId="678CACAC" w:rsidR="00264B1F" w:rsidRDefault="00CF55C4" w:rsidP="00CF55C4">
      <w:pPr>
        <w:rPr>
          <w:rFonts w:ascii="Times New Roman" w:hAnsi="Times New Roman" w:cs="Times New Roman"/>
          <w:sz w:val="24"/>
          <w:szCs w:val="24"/>
        </w:rPr>
      </w:pPr>
      <w:r w:rsidRPr="001A5211">
        <w:rPr>
          <w:rFonts w:ascii="Times New Roman" w:hAnsi="Times New Roman" w:cs="Times New Roman"/>
          <w:sz w:val="24"/>
          <w:szCs w:val="24"/>
          <w:u w:val="single"/>
        </w:rPr>
        <w:t>For the annual review</w:t>
      </w:r>
      <w:r w:rsidR="0096472F">
        <w:rPr>
          <w:rFonts w:ascii="Times New Roman" w:hAnsi="Times New Roman" w:cs="Times New Roman"/>
          <w:sz w:val="24"/>
          <w:szCs w:val="24"/>
          <w:u w:val="single"/>
        </w:rPr>
        <w:t>:</w:t>
      </w:r>
      <w:r>
        <w:rPr>
          <w:rFonts w:ascii="Times New Roman" w:hAnsi="Times New Roman" w:cs="Times New Roman"/>
          <w:sz w:val="24"/>
          <w:szCs w:val="24"/>
        </w:rPr>
        <w:t xml:space="preserve"> </w:t>
      </w:r>
      <w:r w:rsidR="00700202">
        <w:rPr>
          <w:rFonts w:ascii="Times New Roman" w:hAnsi="Times New Roman" w:cs="Times New Roman"/>
          <w:sz w:val="24"/>
          <w:szCs w:val="24"/>
        </w:rPr>
        <w:t>T</w:t>
      </w:r>
      <w:r>
        <w:rPr>
          <w:rFonts w:ascii="Times New Roman" w:hAnsi="Times New Roman" w:cs="Times New Roman"/>
          <w:sz w:val="24"/>
          <w:szCs w:val="24"/>
        </w:rPr>
        <w:t>he Director will compare the actual transhipment data with the target for that year.</w:t>
      </w:r>
      <w:r w:rsidR="002F6757">
        <w:rPr>
          <w:rFonts w:ascii="Times New Roman" w:hAnsi="Times New Roman" w:cs="Times New Roman"/>
          <w:sz w:val="24"/>
          <w:szCs w:val="24"/>
        </w:rPr>
        <w:t xml:space="preserve"> </w:t>
      </w:r>
      <w:r w:rsidR="00264B1F">
        <w:rPr>
          <w:rFonts w:ascii="Times New Roman" w:hAnsi="Times New Roman" w:cs="Times New Roman"/>
          <w:sz w:val="24"/>
          <w:szCs w:val="24"/>
        </w:rPr>
        <w:t>As the target is expressed as a percentage of available product, the target amount in metric tonnes will only be known at the end of the year; b</w:t>
      </w:r>
      <w:r w:rsidR="002B52EC">
        <w:rPr>
          <w:rFonts w:ascii="Times New Roman" w:hAnsi="Times New Roman" w:cs="Times New Roman"/>
          <w:sz w:val="24"/>
          <w:szCs w:val="24"/>
        </w:rPr>
        <w:t>ut</w:t>
      </w:r>
      <w:r w:rsidR="00264B1F">
        <w:rPr>
          <w:rFonts w:ascii="Times New Roman" w:hAnsi="Times New Roman" w:cs="Times New Roman"/>
          <w:sz w:val="24"/>
          <w:szCs w:val="24"/>
        </w:rPr>
        <w:t xml:space="preserve"> catch reports and other in year data will give a good earlier indication. </w:t>
      </w:r>
    </w:p>
    <w:p w14:paraId="6F9B5CD1" w14:textId="3668EB24" w:rsidR="002F6757" w:rsidRDefault="002F6757" w:rsidP="00CF55C4">
      <w:pPr>
        <w:rPr>
          <w:rFonts w:ascii="Times New Roman" w:hAnsi="Times New Roman" w:cs="Times New Roman"/>
          <w:sz w:val="24"/>
          <w:szCs w:val="24"/>
        </w:rPr>
      </w:pPr>
      <w:r>
        <w:rPr>
          <w:rFonts w:ascii="Times New Roman" w:hAnsi="Times New Roman" w:cs="Times New Roman"/>
          <w:sz w:val="24"/>
          <w:szCs w:val="24"/>
        </w:rPr>
        <w:t xml:space="preserve">The Director will take account of mitigating circumstances, where events outside the company’s direct control are </w:t>
      </w:r>
      <w:r w:rsidRPr="002D63F8">
        <w:rPr>
          <w:rFonts w:ascii="Times New Roman" w:hAnsi="Times New Roman" w:cs="Times New Roman"/>
          <w:sz w:val="24"/>
          <w:szCs w:val="24"/>
        </w:rPr>
        <w:t xml:space="preserve">such that they could not reasonably </w:t>
      </w:r>
      <w:r>
        <w:rPr>
          <w:rFonts w:ascii="Times New Roman" w:hAnsi="Times New Roman" w:cs="Times New Roman"/>
          <w:sz w:val="24"/>
          <w:szCs w:val="24"/>
        </w:rPr>
        <w:t>meet the target in</w:t>
      </w:r>
      <w:r w:rsidRPr="002D63F8">
        <w:rPr>
          <w:rFonts w:ascii="Times New Roman" w:hAnsi="Times New Roman" w:cs="Times New Roman"/>
          <w:sz w:val="24"/>
          <w:szCs w:val="24"/>
        </w:rPr>
        <w:t xml:space="preserve"> the action plan. </w:t>
      </w:r>
    </w:p>
    <w:p w14:paraId="57E56DF9" w14:textId="77777777" w:rsidR="002D62EE" w:rsidRDefault="002F6757" w:rsidP="00CF55C4">
      <w:pPr>
        <w:rPr>
          <w:rFonts w:ascii="Times New Roman" w:hAnsi="Times New Roman" w:cs="Times New Roman"/>
          <w:sz w:val="24"/>
          <w:szCs w:val="24"/>
        </w:rPr>
      </w:pPr>
      <w:r>
        <w:rPr>
          <w:rFonts w:ascii="Times New Roman" w:hAnsi="Times New Roman" w:cs="Times New Roman"/>
          <w:sz w:val="24"/>
          <w:szCs w:val="24"/>
        </w:rPr>
        <w:t>Such mitigating circumstances may include</w:t>
      </w:r>
      <w:r w:rsidR="002D62EE">
        <w:rPr>
          <w:rFonts w:ascii="Times New Roman" w:hAnsi="Times New Roman" w:cs="Times New Roman"/>
          <w:sz w:val="24"/>
          <w:szCs w:val="24"/>
        </w:rPr>
        <w:t>:</w:t>
      </w:r>
    </w:p>
    <w:p w14:paraId="192F1A52" w14:textId="1AC9217F" w:rsidR="002D62EE" w:rsidRPr="002D62EE" w:rsidRDefault="002D62EE" w:rsidP="002D62EE">
      <w:pPr>
        <w:numPr>
          <w:ilvl w:val="0"/>
          <w:numId w:val="18"/>
        </w:numPr>
        <w:rPr>
          <w:rFonts w:ascii="Times New Roman" w:hAnsi="Times New Roman" w:cs="Times New Roman"/>
          <w:sz w:val="24"/>
          <w:szCs w:val="24"/>
        </w:rPr>
      </w:pPr>
      <w:r w:rsidRPr="002657DF">
        <w:rPr>
          <w:rFonts w:ascii="Times New Roman" w:hAnsi="Times New Roman" w:cs="Times New Roman"/>
          <w:b/>
          <w:sz w:val="24"/>
          <w:szCs w:val="24"/>
        </w:rPr>
        <w:t>Port/port services not available</w:t>
      </w:r>
      <w:r w:rsidRPr="002D62EE">
        <w:rPr>
          <w:rFonts w:ascii="Times New Roman" w:hAnsi="Times New Roman" w:cs="Times New Roman"/>
          <w:sz w:val="24"/>
          <w:szCs w:val="24"/>
        </w:rPr>
        <w:t xml:space="preserve"> for </w:t>
      </w:r>
      <w:r w:rsidRPr="002657DF">
        <w:rPr>
          <w:rFonts w:ascii="Times New Roman" w:hAnsi="Times New Roman" w:cs="Times New Roman"/>
          <w:bCs/>
          <w:i/>
          <w:sz w:val="24"/>
          <w:szCs w:val="24"/>
        </w:rPr>
        <w:t>more</w:t>
      </w:r>
      <w:r w:rsidRPr="002D62EE">
        <w:rPr>
          <w:rFonts w:ascii="Times New Roman" w:hAnsi="Times New Roman" w:cs="Times New Roman"/>
          <w:sz w:val="24"/>
          <w:szCs w:val="24"/>
        </w:rPr>
        <w:t xml:space="preserve"> than </w:t>
      </w:r>
      <w:r w:rsidR="00700202">
        <w:rPr>
          <w:rFonts w:ascii="Times New Roman" w:hAnsi="Times New Roman" w:cs="Times New Roman"/>
          <w:sz w:val="24"/>
          <w:szCs w:val="24"/>
        </w:rPr>
        <w:t>seven</w:t>
      </w:r>
      <w:r w:rsidRPr="002D62EE">
        <w:rPr>
          <w:rFonts w:ascii="Times New Roman" w:hAnsi="Times New Roman" w:cs="Times New Roman"/>
          <w:sz w:val="24"/>
          <w:szCs w:val="24"/>
        </w:rPr>
        <w:t xml:space="preserve"> days </w:t>
      </w:r>
      <w:r>
        <w:rPr>
          <w:rFonts w:ascii="Times New Roman" w:hAnsi="Times New Roman" w:cs="Times New Roman"/>
          <w:sz w:val="24"/>
          <w:szCs w:val="24"/>
        </w:rPr>
        <w:t xml:space="preserve">in </w:t>
      </w:r>
      <w:r w:rsidR="0068183B">
        <w:rPr>
          <w:rFonts w:ascii="Times New Roman" w:hAnsi="Times New Roman" w:cs="Times New Roman"/>
          <w:sz w:val="24"/>
          <w:szCs w:val="24"/>
        </w:rPr>
        <w:t>succession</w:t>
      </w:r>
      <w:r w:rsidR="00FE3478">
        <w:rPr>
          <w:rFonts w:ascii="Times New Roman" w:hAnsi="Times New Roman" w:cs="Times New Roman"/>
          <w:sz w:val="24"/>
          <w:szCs w:val="24"/>
        </w:rPr>
        <w:t>. This</w:t>
      </w:r>
      <w:r w:rsidRPr="002D62EE">
        <w:rPr>
          <w:rFonts w:ascii="Times New Roman" w:hAnsi="Times New Roman" w:cs="Times New Roman"/>
          <w:sz w:val="24"/>
          <w:szCs w:val="24"/>
        </w:rPr>
        <w:t xml:space="preserve"> includes: </w:t>
      </w:r>
    </w:p>
    <w:p w14:paraId="1F7B209D" w14:textId="39D9D44A" w:rsidR="002D62EE" w:rsidRPr="002D62EE" w:rsidRDefault="002D62EE" w:rsidP="002D62EE">
      <w:pPr>
        <w:numPr>
          <w:ilvl w:val="1"/>
          <w:numId w:val="18"/>
        </w:numPr>
        <w:rPr>
          <w:rFonts w:ascii="Times New Roman" w:hAnsi="Times New Roman" w:cs="Times New Roman"/>
          <w:sz w:val="24"/>
          <w:szCs w:val="24"/>
        </w:rPr>
      </w:pPr>
      <w:r w:rsidRPr="002D62EE">
        <w:rPr>
          <w:rFonts w:ascii="Times New Roman" w:hAnsi="Times New Roman" w:cs="Times New Roman"/>
          <w:sz w:val="24"/>
          <w:szCs w:val="24"/>
        </w:rPr>
        <w:t>vessels not being able to berth safely</w:t>
      </w:r>
      <w:r w:rsidR="008A0FCE">
        <w:rPr>
          <w:rFonts w:ascii="Times New Roman" w:hAnsi="Times New Roman" w:cs="Times New Roman"/>
          <w:sz w:val="24"/>
          <w:szCs w:val="24"/>
        </w:rPr>
        <w:t>;</w:t>
      </w:r>
      <w:r w:rsidRPr="002D62EE">
        <w:rPr>
          <w:rFonts w:ascii="Times New Roman" w:hAnsi="Times New Roman" w:cs="Times New Roman"/>
          <w:sz w:val="24"/>
          <w:szCs w:val="24"/>
        </w:rPr>
        <w:t xml:space="preserve"> </w:t>
      </w:r>
    </w:p>
    <w:p w14:paraId="519EE0A7" w14:textId="6928D8D6" w:rsidR="002D62EE" w:rsidRPr="002D62EE" w:rsidRDefault="002D62EE" w:rsidP="002D62EE">
      <w:pPr>
        <w:numPr>
          <w:ilvl w:val="1"/>
          <w:numId w:val="18"/>
        </w:numPr>
        <w:rPr>
          <w:rFonts w:ascii="Times New Roman" w:hAnsi="Times New Roman" w:cs="Times New Roman"/>
          <w:sz w:val="24"/>
          <w:szCs w:val="24"/>
        </w:rPr>
      </w:pPr>
      <w:r w:rsidRPr="002D62EE">
        <w:rPr>
          <w:rFonts w:ascii="Times New Roman" w:hAnsi="Times New Roman" w:cs="Times New Roman"/>
          <w:sz w:val="24"/>
          <w:szCs w:val="24"/>
        </w:rPr>
        <w:t>vessels not being able to get a berth due to congestion</w:t>
      </w:r>
      <w:r w:rsidR="008A0FCE">
        <w:rPr>
          <w:rFonts w:ascii="Times New Roman" w:hAnsi="Times New Roman" w:cs="Times New Roman"/>
          <w:sz w:val="24"/>
          <w:szCs w:val="24"/>
        </w:rPr>
        <w:t>;</w:t>
      </w:r>
      <w:r w:rsidRPr="002D62EE">
        <w:rPr>
          <w:rFonts w:ascii="Times New Roman" w:hAnsi="Times New Roman" w:cs="Times New Roman"/>
          <w:sz w:val="24"/>
          <w:szCs w:val="24"/>
        </w:rPr>
        <w:t xml:space="preserve"> </w:t>
      </w:r>
    </w:p>
    <w:p w14:paraId="571D5AA8" w14:textId="07614B7A" w:rsidR="002D62EE" w:rsidRPr="002D62EE" w:rsidRDefault="002D62EE" w:rsidP="002D62EE">
      <w:pPr>
        <w:numPr>
          <w:ilvl w:val="1"/>
          <w:numId w:val="18"/>
        </w:numPr>
        <w:rPr>
          <w:rFonts w:ascii="Times New Roman" w:hAnsi="Times New Roman" w:cs="Times New Roman"/>
          <w:sz w:val="24"/>
          <w:szCs w:val="24"/>
        </w:rPr>
      </w:pPr>
      <w:r w:rsidRPr="002D62EE">
        <w:rPr>
          <w:rFonts w:ascii="Times New Roman" w:hAnsi="Times New Roman" w:cs="Times New Roman"/>
          <w:sz w:val="24"/>
          <w:szCs w:val="24"/>
        </w:rPr>
        <w:t>non-availability of stevedores/plant</w:t>
      </w:r>
      <w:r w:rsidR="008A0FCE">
        <w:rPr>
          <w:rFonts w:ascii="Times New Roman" w:hAnsi="Times New Roman" w:cs="Times New Roman"/>
          <w:sz w:val="24"/>
          <w:szCs w:val="24"/>
        </w:rPr>
        <w:t>;</w:t>
      </w:r>
      <w:r w:rsidRPr="002D62EE">
        <w:rPr>
          <w:rFonts w:ascii="Times New Roman" w:hAnsi="Times New Roman" w:cs="Times New Roman"/>
          <w:sz w:val="24"/>
          <w:szCs w:val="24"/>
        </w:rPr>
        <w:t xml:space="preserve"> and </w:t>
      </w:r>
    </w:p>
    <w:p w14:paraId="1C2BBFC4" w14:textId="0E9CBA48" w:rsidR="002D62EE" w:rsidRPr="002D62EE" w:rsidRDefault="002D62EE" w:rsidP="002D62EE">
      <w:pPr>
        <w:numPr>
          <w:ilvl w:val="1"/>
          <w:numId w:val="18"/>
        </w:numPr>
        <w:rPr>
          <w:rFonts w:ascii="Times New Roman" w:hAnsi="Times New Roman" w:cs="Times New Roman"/>
          <w:sz w:val="24"/>
          <w:szCs w:val="24"/>
        </w:rPr>
      </w:pPr>
      <w:r w:rsidRPr="002D62EE">
        <w:rPr>
          <w:rFonts w:ascii="Times New Roman" w:hAnsi="Times New Roman" w:cs="Times New Roman"/>
          <w:sz w:val="24"/>
          <w:szCs w:val="24"/>
        </w:rPr>
        <w:lastRenderedPageBreak/>
        <w:t xml:space="preserve">the effective closure of </w:t>
      </w:r>
      <w:r>
        <w:rPr>
          <w:rFonts w:ascii="Times New Roman" w:hAnsi="Times New Roman" w:cs="Times New Roman"/>
          <w:sz w:val="24"/>
          <w:szCs w:val="24"/>
        </w:rPr>
        <w:t xml:space="preserve">the </w:t>
      </w:r>
      <w:r w:rsidRPr="002D62EE">
        <w:rPr>
          <w:rFonts w:ascii="Times New Roman" w:hAnsi="Times New Roman" w:cs="Times New Roman"/>
          <w:sz w:val="24"/>
          <w:szCs w:val="24"/>
        </w:rPr>
        <w:t xml:space="preserve">port </w:t>
      </w:r>
      <w:r>
        <w:rPr>
          <w:rFonts w:ascii="Times New Roman" w:hAnsi="Times New Roman" w:cs="Times New Roman"/>
          <w:sz w:val="24"/>
          <w:szCs w:val="24"/>
        </w:rPr>
        <w:t>(</w:t>
      </w:r>
      <w:r w:rsidRPr="002D62EE">
        <w:rPr>
          <w:rFonts w:ascii="Times New Roman" w:hAnsi="Times New Roman" w:cs="Times New Roman"/>
          <w:sz w:val="24"/>
          <w:szCs w:val="24"/>
        </w:rPr>
        <w:t>short term or long term</w:t>
      </w:r>
      <w:r>
        <w:rPr>
          <w:rFonts w:ascii="Times New Roman" w:hAnsi="Times New Roman" w:cs="Times New Roman"/>
          <w:sz w:val="24"/>
          <w:szCs w:val="24"/>
        </w:rPr>
        <w:t>)</w:t>
      </w:r>
      <w:r w:rsidRPr="002D62EE">
        <w:rPr>
          <w:rFonts w:ascii="Times New Roman" w:hAnsi="Times New Roman" w:cs="Times New Roman"/>
          <w:sz w:val="24"/>
          <w:szCs w:val="24"/>
        </w:rPr>
        <w:t xml:space="preserve"> for weather, work, pandemic or other reasons.</w:t>
      </w:r>
      <w:r w:rsidR="00B82614">
        <w:rPr>
          <w:rFonts w:ascii="Times New Roman" w:hAnsi="Times New Roman" w:cs="Times New Roman"/>
          <w:sz w:val="24"/>
          <w:szCs w:val="24"/>
        </w:rPr>
        <w:t xml:space="preserve"> </w:t>
      </w:r>
    </w:p>
    <w:p w14:paraId="0F88C011" w14:textId="2E09DCA3" w:rsidR="002D62EE" w:rsidRDefault="002D62EE" w:rsidP="008A0FCE">
      <w:pPr>
        <w:ind w:left="1134"/>
        <w:rPr>
          <w:rFonts w:ascii="Times New Roman" w:hAnsi="Times New Roman" w:cs="Times New Roman"/>
          <w:sz w:val="24"/>
          <w:szCs w:val="24"/>
        </w:rPr>
      </w:pPr>
      <w:r>
        <w:rPr>
          <w:rFonts w:ascii="Times New Roman" w:hAnsi="Times New Roman" w:cs="Times New Roman"/>
          <w:sz w:val="24"/>
          <w:szCs w:val="24"/>
        </w:rPr>
        <w:t>Companies should notify the Director at an early stage if they believe this mitigation will apply</w:t>
      </w:r>
      <w:r w:rsidR="00FE3478">
        <w:rPr>
          <w:rFonts w:ascii="Times New Roman" w:hAnsi="Times New Roman" w:cs="Times New Roman"/>
          <w:sz w:val="24"/>
          <w:szCs w:val="24"/>
        </w:rPr>
        <w:t>, providing the relevant evidence.</w:t>
      </w:r>
      <w:r>
        <w:rPr>
          <w:rFonts w:ascii="Times New Roman" w:hAnsi="Times New Roman" w:cs="Times New Roman"/>
          <w:sz w:val="24"/>
          <w:szCs w:val="24"/>
        </w:rPr>
        <w:t xml:space="preserve"> </w:t>
      </w:r>
      <w:r w:rsidR="00FE3478">
        <w:rPr>
          <w:rFonts w:ascii="Times New Roman" w:hAnsi="Times New Roman" w:cs="Times New Roman"/>
          <w:sz w:val="24"/>
          <w:szCs w:val="24"/>
        </w:rPr>
        <w:t>The Director will need to agree that the mitigation applies</w:t>
      </w:r>
      <w:r w:rsidR="00586117">
        <w:rPr>
          <w:rFonts w:ascii="Times New Roman" w:hAnsi="Times New Roman" w:cs="Times New Roman"/>
          <w:sz w:val="24"/>
          <w:szCs w:val="24"/>
        </w:rPr>
        <w:t xml:space="preserve">, in consultation </w:t>
      </w:r>
      <w:r w:rsidR="00C113B6">
        <w:rPr>
          <w:rFonts w:ascii="Times New Roman" w:hAnsi="Times New Roman" w:cs="Times New Roman"/>
          <w:sz w:val="24"/>
          <w:szCs w:val="24"/>
        </w:rPr>
        <w:t xml:space="preserve">as necessary </w:t>
      </w:r>
      <w:r w:rsidR="00586117">
        <w:rPr>
          <w:rFonts w:ascii="Times New Roman" w:hAnsi="Times New Roman" w:cs="Times New Roman"/>
          <w:sz w:val="24"/>
          <w:szCs w:val="24"/>
        </w:rPr>
        <w:t xml:space="preserve">with the Harbour Master and the Port Manager. </w:t>
      </w:r>
    </w:p>
    <w:p w14:paraId="556888C9" w14:textId="518C9B7F" w:rsidR="002D62EE" w:rsidRPr="002D62EE" w:rsidRDefault="002D62EE" w:rsidP="008A0FCE">
      <w:pPr>
        <w:ind w:left="1134"/>
        <w:rPr>
          <w:rFonts w:ascii="Times New Roman" w:hAnsi="Times New Roman" w:cs="Times New Roman"/>
          <w:sz w:val="24"/>
          <w:szCs w:val="24"/>
        </w:rPr>
      </w:pPr>
      <w:r w:rsidRPr="002D62EE">
        <w:rPr>
          <w:rFonts w:ascii="Times New Roman" w:hAnsi="Times New Roman" w:cs="Times New Roman"/>
          <w:sz w:val="24"/>
          <w:szCs w:val="24"/>
        </w:rPr>
        <w:t xml:space="preserve">Where these circumstances occur for </w:t>
      </w:r>
      <w:r w:rsidR="00700202">
        <w:rPr>
          <w:rFonts w:ascii="Times New Roman" w:hAnsi="Times New Roman" w:cs="Times New Roman"/>
          <w:sz w:val="24"/>
          <w:szCs w:val="24"/>
        </w:rPr>
        <w:t xml:space="preserve">seven </w:t>
      </w:r>
      <w:r w:rsidRPr="002D62EE">
        <w:rPr>
          <w:rFonts w:ascii="Times New Roman" w:hAnsi="Times New Roman" w:cs="Times New Roman"/>
          <w:sz w:val="24"/>
          <w:szCs w:val="24"/>
        </w:rPr>
        <w:t>days or less</w:t>
      </w:r>
      <w:r w:rsidR="00FE3478">
        <w:rPr>
          <w:rFonts w:ascii="Times New Roman" w:hAnsi="Times New Roman" w:cs="Times New Roman"/>
          <w:sz w:val="24"/>
          <w:szCs w:val="24"/>
        </w:rPr>
        <w:t xml:space="preserve"> </w:t>
      </w:r>
      <w:r w:rsidRPr="002D62EE">
        <w:rPr>
          <w:rFonts w:ascii="Times New Roman" w:hAnsi="Times New Roman" w:cs="Times New Roman"/>
          <w:sz w:val="24"/>
          <w:szCs w:val="24"/>
        </w:rPr>
        <w:t>it is considered that there will be opportunity within a year of operations to either trade or re-align transhipment obligations.</w:t>
      </w:r>
    </w:p>
    <w:p w14:paraId="0EAFE29D" w14:textId="3F3D7E5A" w:rsidR="002D62EE" w:rsidRPr="002D62EE" w:rsidRDefault="002D62EE" w:rsidP="002D62EE">
      <w:pPr>
        <w:numPr>
          <w:ilvl w:val="0"/>
          <w:numId w:val="18"/>
        </w:numPr>
        <w:rPr>
          <w:rFonts w:ascii="Times New Roman" w:hAnsi="Times New Roman" w:cs="Times New Roman"/>
          <w:sz w:val="24"/>
          <w:szCs w:val="24"/>
        </w:rPr>
      </w:pPr>
      <w:r w:rsidRPr="002657DF">
        <w:rPr>
          <w:rFonts w:ascii="Times New Roman" w:hAnsi="Times New Roman" w:cs="Times New Roman"/>
          <w:b/>
          <w:sz w:val="24"/>
          <w:szCs w:val="24"/>
        </w:rPr>
        <w:t>Transhipment containers not available</w:t>
      </w:r>
      <w:r w:rsidR="00FE3478">
        <w:rPr>
          <w:rFonts w:ascii="Times New Roman" w:hAnsi="Times New Roman" w:cs="Times New Roman"/>
          <w:b/>
          <w:sz w:val="24"/>
          <w:szCs w:val="24"/>
        </w:rPr>
        <w:t>.</w:t>
      </w:r>
      <w:r w:rsidRPr="002D62EE">
        <w:rPr>
          <w:rFonts w:ascii="Times New Roman" w:hAnsi="Times New Roman" w:cs="Times New Roman"/>
          <w:sz w:val="24"/>
          <w:szCs w:val="24"/>
        </w:rPr>
        <w:t xml:space="preserve"> </w:t>
      </w:r>
      <w:r w:rsidR="00FE3478">
        <w:rPr>
          <w:rFonts w:ascii="Times New Roman" w:hAnsi="Times New Roman" w:cs="Times New Roman"/>
          <w:sz w:val="24"/>
          <w:szCs w:val="24"/>
        </w:rPr>
        <w:t xml:space="preserve">This mitigation </w:t>
      </w:r>
      <w:r w:rsidRPr="002D62EE">
        <w:rPr>
          <w:rFonts w:ascii="Times New Roman" w:hAnsi="Times New Roman" w:cs="Times New Roman"/>
          <w:sz w:val="24"/>
          <w:szCs w:val="24"/>
        </w:rPr>
        <w:t xml:space="preserve">only </w:t>
      </w:r>
      <w:r w:rsidR="00FE3478">
        <w:rPr>
          <w:rFonts w:ascii="Times New Roman" w:hAnsi="Times New Roman" w:cs="Times New Roman"/>
          <w:sz w:val="24"/>
          <w:szCs w:val="24"/>
        </w:rPr>
        <w:t xml:space="preserve">applies </w:t>
      </w:r>
      <w:r w:rsidRPr="002D62EE">
        <w:rPr>
          <w:rFonts w:ascii="Times New Roman" w:hAnsi="Times New Roman" w:cs="Times New Roman"/>
          <w:sz w:val="24"/>
          <w:szCs w:val="24"/>
        </w:rPr>
        <w:t xml:space="preserve">when a </w:t>
      </w:r>
      <w:r w:rsidR="00A53BFC">
        <w:rPr>
          <w:rFonts w:ascii="Times New Roman" w:hAnsi="Times New Roman" w:cs="Times New Roman"/>
          <w:sz w:val="24"/>
          <w:szCs w:val="24"/>
        </w:rPr>
        <w:t xml:space="preserve">suitable </w:t>
      </w:r>
      <w:r w:rsidRPr="002D62EE">
        <w:rPr>
          <w:rFonts w:ascii="Times New Roman" w:hAnsi="Times New Roman" w:cs="Times New Roman"/>
          <w:sz w:val="24"/>
          <w:szCs w:val="24"/>
        </w:rPr>
        <w:t>contract for container provision is in place with a domestic container provider, and can be evidenced as pre-planned.</w:t>
      </w:r>
    </w:p>
    <w:p w14:paraId="58EBEAD8" w14:textId="2F17E025" w:rsidR="002D62EE" w:rsidRDefault="002D62EE" w:rsidP="002D62EE">
      <w:pPr>
        <w:numPr>
          <w:ilvl w:val="0"/>
          <w:numId w:val="18"/>
        </w:numPr>
        <w:rPr>
          <w:rFonts w:ascii="Times New Roman" w:hAnsi="Times New Roman" w:cs="Times New Roman"/>
          <w:sz w:val="24"/>
          <w:szCs w:val="24"/>
        </w:rPr>
      </w:pPr>
      <w:r w:rsidRPr="002657DF">
        <w:rPr>
          <w:rFonts w:ascii="Times New Roman" w:hAnsi="Times New Roman" w:cs="Times New Roman"/>
          <w:b/>
          <w:sz w:val="24"/>
          <w:szCs w:val="24"/>
        </w:rPr>
        <w:t>Opportunistic transhipment in another port</w:t>
      </w:r>
      <w:r>
        <w:rPr>
          <w:rFonts w:ascii="Times New Roman" w:hAnsi="Times New Roman" w:cs="Times New Roman"/>
          <w:sz w:val="24"/>
          <w:szCs w:val="24"/>
        </w:rPr>
        <w:t xml:space="preserve">, </w:t>
      </w:r>
      <w:r w:rsidRPr="002D62EE">
        <w:rPr>
          <w:rFonts w:ascii="Times New Roman" w:hAnsi="Times New Roman" w:cs="Times New Roman"/>
          <w:sz w:val="24"/>
          <w:szCs w:val="24"/>
        </w:rPr>
        <w:t>due to</w:t>
      </w:r>
      <w:r w:rsidR="00FE3478">
        <w:rPr>
          <w:rFonts w:ascii="Times New Roman" w:hAnsi="Times New Roman" w:cs="Times New Roman"/>
          <w:sz w:val="24"/>
          <w:szCs w:val="24"/>
        </w:rPr>
        <w:t xml:space="preserve"> unexpected</w:t>
      </w:r>
      <w:r w:rsidRPr="002D62EE">
        <w:rPr>
          <w:rFonts w:ascii="Times New Roman" w:hAnsi="Times New Roman" w:cs="Times New Roman"/>
          <w:sz w:val="24"/>
          <w:szCs w:val="24"/>
        </w:rPr>
        <w:t xml:space="preserve"> </w:t>
      </w:r>
      <w:r w:rsidR="00FE3478">
        <w:rPr>
          <w:rFonts w:ascii="Times New Roman" w:hAnsi="Times New Roman" w:cs="Times New Roman"/>
          <w:sz w:val="24"/>
          <w:szCs w:val="24"/>
        </w:rPr>
        <w:t xml:space="preserve">events such as a </w:t>
      </w:r>
      <w:r w:rsidRPr="002D62EE">
        <w:rPr>
          <w:rFonts w:ascii="Times New Roman" w:hAnsi="Times New Roman" w:cs="Times New Roman"/>
          <w:sz w:val="24"/>
          <w:szCs w:val="24"/>
        </w:rPr>
        <w:t>mechanical breakdown</w:t>
      </w:r>
      <w:r w:rsidR="00FE3478">
        <w:rPr>
          <w:rFonts w:ascii="Times New Roman" w:hAnsi="Times New Roman" w:cs="Times New Roman"/>
          <w:sz w:val="24"/>
          <w:szCs w:val="24"/>
        </w:rPr>
        <w:t xml:space="preserve"> or medical emergency.</w:t>
      </w:r>
      <w:r w:rsidRPr="002D62EE">
        <w:rPr>
          <w:rFonts w:ascii="Times New Roman" w:hAnsi="Times New Roman" w:cs="Times New Roman"/>
          <w:sz w:val="24"/>
          <w:szCs w:val="24"/>
        </w:rPr>
        <w:t xml:space="preserve"> </w:t>
      </w:r>
      <w:r w:rsidR="00FE3478">
        <w:rPr>
          <w:rFonts w:ascii="Times New Roman" w:hAnsi="Times New Roman" w:cs="Times New Roman"/>
          <w:sz w:val="24"/>
          <w:szCs w:val="24"/>
        </w:rPr>
        <w:t>This mitigation will o</w:t>
      </w:r>
      <w:r w:rsidRPr="002D62EE">
        <w:rPr>
          <w:rFonts w:ascii="Times New Roman" w:hAnsi="Times New Roman" w:cs="Times New Roman"/>
          <w:sz w:val="24"/>
          <w:szCs w:val="24"/>
        </w:rPr>
        <w:t xml:space="preserve">nly </w:t>
      </w:r>
      <w:r w:rsidR="00FE3478">
        <w:rPr>
          <w:rFonts w:ascii="Times New Roman" w:hAnsi="Times New Roman" w:cs="Times New Roman"/>
          <w:sz w:val="24"/>
          <w:szCs w:val="24"/>
        </w:rPr>
        <w:t xml:space="preserve">apply </w:t>
      </w:r>
      <w:r w:rsidRPr="002D62EE">
        <w:rPr>
          <w:rFonts w:ascii="Times New Roman" w:hAnsi="Times New Roman" w:cs="Times New Roman"/>
          <w:sz w:val="24"/>
          <w:szCs w:val="24"/>
        </w:rPr>
        <w:t>in extreme circumstances and will require pre-approv</w:t>
      </w:r>
      <w:r w:rsidR="00FE3478">
        <w:rPr>
          <w:rFonts w:ascii="Times New Roman" w:hAnsi="Times New Roman" w:cs="Times New Roman"/>
          <w:sz w:val="24"/>
          <w:szCs w:val="24"/>
        </w:rPr>
        <w:t>al</w:t>
      </w:r>
      <w:r w:rsidRPr="002D62EE">
        <w:rPr>
          <w:rFonts w:ascii="Times New Roman" w:hAnsi="Times New Roman" w:cs="Times New Roman"/>
          <w:sz w:val="24"/>
          <w:szCs w:val="24"/>
        </w:rPr>
        <w:t xml:space="preserve"> by the Director.</w:t>
      </w:r>
    </w:p>
    <w:p w14:paraId="41FEBADE" w14:textId="1A363F37" w:rsidR="00586117" w:rsidRPr="00586117" w:rsidRDefault="00586117" w:rsidP="002D62EE">
      <w:pPr>
        <w:numPr>
          <w:ilvl w:val="0"/>
          <w:numId w:val="18"/>
        </w:numPr>
        <w:rPr>
          <w:rFonts w:ascii="Times New Roman" w:hAnsi="Times New Roman" w:cs="Times New Roman"/>
          <w:sz w:val="24"/>
          <w:szCs w:val="24"/>
        </w:rPr>
      </w:pPr>
      <w:r>
        <w:rPr>
          <w:rFonts w:ascii="Times New Roman" w:hAnsi="Times New Roman" w:cs="Times New Roman"/>
          <w:b/>
          <w:sz w:val="24"/>
          <w:szCs w:val="24"/>
        </w:rPr>
        <w:t xml:space="preserve">Fishing </w:t>
      </w:r>
      <w:r w:rsidR="00C113B6">
        <w:rPr>
          <w:rFonts w:ascii="Times New Roman" w:hAnsi="Times New Roman" w:cs="Times New Roman"/>
          <w:b/>
          <w:sz w:val="24"/>
          <w:szCs w:val="24"/>
        </w:rPr>
        <w:t xml:space="preserve">season is curtailed at short notice by FIG, </w:t>
      </w:r>
      <w:r w:rsidR="00C113B6" w:rsidRPr="00A140A8">
        <w:rPr>
          <w:rFonts w:ascii="Times New Roman" w:hAnsi="Times New Roman" w:cs="Times New Roman"/>
          <w:sz w:val="24"/>
          <w:szCs w:val="24"/>
        </w:rPr>
        <w:t>where the season i</w:t>
      </w:r>
      <w:r w:rsidR="00C113B6">
        <w:rPr>
          <w:rFonts w:ascii="Times New Roman" w:hAnsi="Times New Roman" w:cs="Times New Roman"/>
          <w:sz w:val="24"/>
          <w:szCs w:val="24"/>
        </w:rPr>
        <w:t>s</w:t>
      </w:r>
      <w:r w:rsidR="00C113B6" w:rsidRPr="00A140A8">
        <w:rPr>
          <w:rFonts w:ascii="Times New Roman" w:hAnsi="Times New Roman" w:cs="Times New Roman"/>
          <w:sz w:val="24"/>
          <w:szCs w:val="24"/>
        </w:rPr>
        <w:t xml:space="preserve"> closed </w:t>
      </w:r>
      <w:r w:rsidR="00C113B6">
        <w:rPr>
          <w:rFonts w:ascii="Times New Roman" w:hAnsi="Times New Roman" w:cs="Times New Roman"/>
          <w:sz w:val="24"/>
          <w:szCs w:val="24"/>
        </w:rPr>
        <w:t>e</w:t>
      </w:r>
      <w:r w:rsidR="00C113B6" w:rsidRPr="00A140A8">
        <w:rPr>
          <w:rFonts w:ascii="Times New Roman" w:hAnsi="Times New Roman" w:cs="Times New Roman"/>
          <w:sz w:val="24"/>
          <w:szCs w:val="24"/>
        </w:rPr>
        <w:t>a</w:t>
      </w:r>
      <w:r w:rsidR="00C113B6">
        <w:rPr>
          <w:rFonts w:ascii="Times New Roman" w:hAnsi="Times New Roman" w:cs="Times New Roman"/>
          <w:sz w:val="24"/>
          <w:szCs w:val="24"/>
        </w:rPr>
        <w:t>r</w:t>
      </w:r>
      <w:r w:rsidR="00C113B6" w:rsidRPr="00A140A8">
        <w:rPr>
          <w:rFonts w:ascii="Times New Roman" w:hAnsi="Times New Roman" w:cs="Times New Roman"/>
          <w:sz w:val="24"/>
          <w:szCs w:val="24"/>
        </w:rPr>
        <w:t>l</w:t>
      </w:r>
      <w:r w:rsidR="00C113B6">
        <w:rPr>
          <w:rFonts w:ascii="Times New Roman" w:hAnsi="Times New Roman" w:cs="Times New Roman"/>
          <w:sz w:val="24"/>
          <w:szCs w:val="24"/>
        </w:rPr>
        <w:t xml:space="preserve">y with less than </w:t>
      </w:r>
      <w:r w:rsidR="00700202">
        <w:rPr>
          <w:rFonts w:ascii="Times New Roman" w:hAnsi="Times New Roman" w:cs="Times New Roman"/>
          <w:sz w:val="24"/>
          <w:szCs w:val="24"/>
        </w:rPr>
        <w:t>seven</w:t>
      </w:r>
      <w:r w:rsidR="00C113B6">
        <w:rPr>
          <w:rFonts w:ascii="Times New Roman" w:hAnsi="Times New Roman" w:cs="Times New Roman"/>
          <w:sz w:val="24"/>
          <w:szCs w:val="24"/>
        </w:rPr>
        <w:t xml:space="preserve"> days</w:t>
      </w:r>
      <w:r w:rsidR="00700202">
        <w:rPr>
          <w:rFonts w:ascii="Times New Roman" w:hAnsi="Times New Roman" w:cs="Times New Roman"/>
          <w:sz w:val="24"/>
          <w:szCs w:val="24"/>
        </w:rPr>
        <w:t>’</w:t>
      </w:r>
      <w:r w:rsidR="00C113B6">
        <w:rPr>
          <w:rFonts w:ascii="Times New Roman" w:hAnsi="Times New Roman" w:cs="Times New Roman"/>
          <w:sz w:val="24"/>
          <w:szCs w:val="24"/>
        </w:rPr>
        <w:t xml:space="preserve"> notice, such that the company was unable to fulfil a reasonable plan to meet its transhipment obligations.</w:t>
      </w:r>
      <w:r w:rsidR="00B82614">
        <w:rPr>
          <w:rFonts w:ascii="Times New Roman" w:hAnsi="Times New Roman" w:cs="Times New Roman"/>
          <w:b/>
          <w:sz w:val="24"/>
          <w:szCs w:val="24"/>
        </w:rPr>
        <w:t xml:space="preserve"> </w:t>
      </w:r>
      <w:r w:rsidR="002C0B16">
        <w:rPr>
          <w:rFonts w:ascii="Times New Roman" w:hAnsi="Times New Roman" w:cs="Times New Roman"/>
          <w:sz w:val="24"/>
          <w:szCs w:val="24"/>
        </w:rPr>
        <w:t xml:space="preserve"> </w:t>
      </w:r>
    </w:p>
    <w:p w14:paraId="76B7071D" w14:textId="015DC9F4" w:rsidR="00CB6ED7" w:rsidRDefault="00CB6ED7" w:rsidP="00CB6ED7">
      <w:pPr>
        <w:rPr>
          <w:rFonts w:ascii="Times New Roman" w:hAnsi="Times New Roman" w:cs="Times New Roman"/>
          <w:sz w:val="24"/>
          <w:szCs w:val="24"/>
        </w:rPr>
      </w:pPr>
      <w:r w:rsidRPr="00CB6ED7">
        <w:rPr>
          <w:rFonts w:ascii="Times New Roman" w:hAnsi="Times New Roman" w:cs="Times New Roman"/>
          <w:sz w:val="24"/>
          <w:szCs w:val="24"/>
        </w:rPr>
        <w:t>The Director may also take account of any other new and unforeseen circumstance that arise, that mean a company could not reasonably fulfil its plan to tranship through a domestic container service</w:t>
      </w:r>
      <w:r>
        <w:rPr>
          <w:rFonts w:ascii="Times New Roman" w:hAnsi="Times New Roman" w:cs="Times New Roman"/>
          <w:sz w:val="24"/>
          <w:szCs w:val="24"/>
        </w:rPr>
        <w:t xml:space="preserve">, but only where </w:t>
      </w:r>
      <w:r w:rsidRPr="00CB6ED7">
        <w:rPr>
          <w:rFonts w:ascii="Times New Roman" w:hAnsi="Times New Roman" w:cs="Times New Roman"/>
          <w:sz w:val="24"/>
          <w:szCs w:val="24"/>
        </w:rPr>
        <w:t xml:space="preserve">the company </w:t>
      </w:r>
      <w:r>
        <w:rPr>
          <w:rFonts w:ascii="Times New Roman" w:hAnsi="Times New Roman" w:cs="Times New Roman"/>
          <w:sz w:val="24"/>
          <w:szCs w:val="24"/>
        </w:rPr>
        <w:t xml:space="preserve">can demonstrate that they </w:t>
      </w:r>
      <w:r w:rsidRPr="00CB6ED7">
        <w:rPr>
          <w:rFonts w:ascii="Times New Roman" w:hAnsi="Times New Roman" w:cs="Times New Roman"/>
          <w:sz w:val="24"/>
          <w:szCs w:val="24"/>
        </w:rPr>
        <w:t>ha</w:t>
      </w:r>
      <w:r>
        <w:rPr>
          <w:rFonts w:ascii="Times New Roman" w:hAnsi="Times New Roman" w:cs="Times New Roman"/>
          <w:sz w:val="24"/>
          <w:szCs w:val="24"/>
        </w:rPr>
        <w:t>d</w:t>
      </w:r>
      <w:r w:rsidRPr="00CB6ED7">
        <w:rPr>
          <w:rFonts w:ascii="Times New Roman" w:hAnsi="Times New Roman" w:cs="Times New Roman"/>
          <w:sz w:val="24"/>
          <w:szCs w:val="24"/>
        </w:rPr>
        <w:t xml:space="preserve"> </w:t>
      </w:r>
      <w:r>
        <w:rPr>
          <w:rFonts w:ascii="Times New Roman" w:hAnsi="Times New Roman" w:cs="Times New Roman"/>
          <w:sz w:val="24"/>
          <w:szCs w:val="24"/>
        </w:rPr>
        <w:t>taken</w:t>
      </w:r>
      <w:r w:rsidRPr="00CB6ED7">
        <w:rPr>
          <w:rFonts w:ascii="Times New Roman" w:hAnsi="Times New Roman" w:cs="Times New Roman"/>
          <w:sz w:val="24"/>
          <w:szCs w:val="24"/>
        </w:rPr>
        <w:t xml:space="preserve"> reasonable steps to plan ahead and arrange for transhipment.</w:t>
      </w:r>
    </w:p>
    <w:p w14:paraId="0F1E5B82" w14:textId="38310702" w:rsidR="00CB6ED7" w:rsidRPr="002657DF" w:rsidRDefault="00CB6ED7" w:rsidP="002657DF">
      <w:pPr>
        <w:rPr>
          <w:rFonts w:ascii="Times New Roman" w:hAnsi="Times New Roman" w:cs="Times New Roman"/>
          <w:sz w:val="24"/>
          <w:szCs w:val="24"/>
        </w:rPr>
      </w:pPr>
      <w:r w:rsidRPr="002657DF">
        <w:rPr>
          <w:rFonts w:ascii="Times New Roman" w:hAnsi="Times New Roman" w:cs="Times New Roman"/>
          <w:sz w:val="24"/>
          <w:szCs w:val="24"/>
        </w:rPr>
        <w:t xml:space="preserve">Given the approach taken to setting transhipment objectives, there is no need to have a mitigation measure for low catches. If catches are below the Exempt Total Annual Product, there is automatically no </w:t>
      </w:r>
      <w:r w:rsidR="00700202">
        <w:rPr>
          <w:rFonts w:ascii="Times New Roman" w:hAnsi="Times New Roman" w:cs="Times New Roman"/>
          <w:sz w:val="24"/>
          <w:szCs w:val="24"/>
        </w:rPr>
        <w:t>A</w:t>
      </w:r>
      <w:r w:rsidRPr="002657DF">
        <w:rPr>
          <w:rFonts w:ascii="Times New Roman" w:hAnsi="Times New Roman" w:cs="Times New Roman"/>
          <w:sz w:val="24"/>
          <w:szCs w:val="24"/>
        </w:rPr>
        <w:t xml:space="preserve">vailable </w:t>
      </w:r>
      <w:r w:rsidR="00700202">
        <w:rPr>
          <w:rFonts w:ascii="Times New Roman" w:hAnsi="Times New Roman" w:cs="Times New Roman"/>
          <w:sz w:val="24"/>
          <w:szCs w:val="24"/>
        </w:rPr>
        <w:t>P</w:t>
      </w:r>
      <w:r w:rsidRPr="002657DF">
        <w:rPr>
          <w:rFonts w:ascii="Times New Roman" w:hAnsi="Times New Roman" w:cs="Times New Roman"/>
          <w:sz w:val="24"/>
          <w:szCs w:val="24"/>
        </w:rPr>
        <w:t xml:space="preserve">roduct to tranship. In moderate years the obligation to tranship will be commensurate with catch levels given the approach is percentage based. </w:t>
      </w:r>
    </w:p>
    <w:p w14:paraId="11D5740D" w14:textId="0BA57987" w:rsidR="00192A96" w:rsidRPr="00D65F6F" w:rsidRDefault="00192A96" w:rsidP="00CB6ED7">
      <w:pPr>
        <w:rPr>
          <w:rFonts w:ascii="Times New Roman" w:hAnsi="Times New Roman" w:cs="Times New Roman"/>
          <w:b/>
          <w:bCs/>
          <w:i/>
          <w:sz w:val="24"/>
          <w:szCs w:val="24"/>
        </w:rPr>
      </w:pPr>
      <w:r w:rsidRPr="00D65F6F">
        <w:rPr>
          <w:rFonts w:ascii="Times New Roman" w:hAnsi="Times New Roman" w:cs="Times New Roman"/>
          <w:b/>
          <w:bCs/>
          <w:i/>
          <w:sz w:val="24"/>
          <w:szCs w:val="24"/>
        </w:rPr>
        <w:t>Carry over</w:t>
      </w:r>
    </w:p>
    <w:p w14:paraId="47B54DA0" w14:textId="0551EF1D" w:rsidR="002D62EE" w:rsidRDefault="002D62EE" w:rsidP="00CB6ED7">
      <w:pPr>
        <w:rPr>
          <w:rFonts w:ascii="Times New Roman" w:hAnsi="Times New Roman" w:cs="Times New Roman"/>
          <w:sz w:val="24"/>
          <w:szCs w:val="24"/>
        </w:rPr>
      </w:pPr>
      <w:r w:rsidRPr="002D62EE">
        <w:rPr>
          <w:rFonts w:ascii="Times New Roman" w:hAnsi="Times New Roman" w:cs="Times New Roman"/>
          <w:sz w:val="24"/>
          <w:szCs w:val="24"/>
        </w:rPr>
        <w:t xml:space="preserve">Companies will be able to carry forward </w:t>
      </w:r>
      <w:r w:rsidR="00CB6ED7">
        <w:rPr>
          <w:rFonts w:ascii="Times New Roman" w:hAnsi="Times New Roman" w:cs="Times New Roman"/>
          <w:sz w:val="24"/>
          <w:szCs w:val="24"/>
        </w:rPr>
        <w:t xml:space="preserve">a </w:t>
      </w:r>
      <w:r w:rsidR="00592B79" w:rsidRPr="002D62EE">
        <w:rPr>
          <w:rFonts w:ascii="Times New Roman" w:hAnsi="Times New Roman" w:cs="Times New Roman"/>
          <w:sz w:val="24"/>
          <w:szCs w:val="24"/>
        </w:rPr>
        <w:t xml:space="preserve">shortfall </w:t>
      </w:r>
      <w:r w:rsidR="00592B79">
        <w:rPr>
          <w:rFonts w:ascii="Times New Roman" w:hAnsi="Times New Roman" w:cs="Times New Roman"/>
          <w:sz w:val="24"/>
          <w:szCs w:val="24"/>
        </w:rPr>
        <w:t xml:space="preserve">on their annual </w:t>
      </w:r>
      <w:r w:rsidRPr="002D62EE">
        <w:rPr>
          <w:rFonts w:ascii="Times New Roman" w:hAnsi="Times New Roman" w:cs="Times New Roman"/>
          <w:sz w:val="24"/>
          <w:szCs w:val="24"/>
        </w:rPr>
        <w:t xml:space="preserve">transhipment </w:t>
      </w:r>
      <w:r w:rsidR="00592B79">
        <w:rPr>
          <w:rFonts w:ascii="Times New Roman" w:hAnsi="Times New Roman" w:cs="Times New Roman"/>
          <w:sz w:val="24"/>
          <w:szCs w:val="24"/>
        </w:rPr>
        <w:t xml:space="preserve">target </w:t>
      </w:r>
      <w:r w:rsidR="00CB6ED7">
        <w:rPr>
          <w:rFonts w:ascii="Times New Roman" w:hAnsi="Times New Roman" w:cs="Times New Roman"/>
          <w:sz w:val="24"/>
          <w:szCs w:val="24"/>
        </w:rPr>
        <w:t>of up to</w:t>
      </w:r>
      <w:r w:rsidRPr="002D62EE">
        <w:rPr>
          <w:rFonts w:ascii="Times New Roman" w:hAnsi="Times New Roman" w:cs="Times New Roman"/>
          <w:sz w:val="24"/>
          <w:szCs w:val="24"/>
        </w:rPr>
        <w:t xml:space="preserve"> 10% of the </w:t>
      </w:r>
      <w:r w:rsidR="00700202">
        <w:rPr>
          <w:rFonts w:ascii="Times New Roman" w:hAnsi="Times New Roman" w:cs="Times New Roman"/>
          <w:sz w:val="24"/>
          <w:szCs w:val="24"/>
        </w:rPr>
        <w:t>A</w:t>
      </w:r>
      <w:r w:rsidRPr="002D62EE">
        <w:rPr>
          <w:rFonts w:ascii="Times New Roman" w:hAnsi="Times New Roman" w:cs="Times New Roman"/>
          <w:sz w:val="24"/>
          <w:szCs w:val="24"/>
        </w:rPr>
        <w:t xml:space="preserve">vailable </w:t>
      </w:r>
      <w:r w:rsidR="00700202">
        <w:rPr>
          <w:rFonts w:ascii="Times New Roman" w:hAnsi="Times New Roman" w:cs="Times New Roman"/>
          <w:sz w:val="24"/>
          <w:szCs w:val="24"/>
        </w:rPr>
        <w:t>P</w:t>
      </w:r>
      <w:r w:rsidRPr="002D62EE">
        <w:rPr>
          <w:rFonts w:ascii="Times New Roman" w:hAnsi="Times New Roman" w:cs="Times New Roman"/>
          <w:sz w:val="24"/>
          <w:szCs w:val="24"/>
        </w:rPr>
        <w:t>roduct</w:t>
      </w:r>
      <w:r w:rsidR="00CB6ED7">
        <w:rPr>
          <w:rFonts w:ascii="Times New Roman" w:hAnsi="Times New Roman" w:cs="Times New Roman"/>
          <w:sz w:val="24"/>
          <w:szCs w:val="24"/>
        </w:rPr>
        <w:t xml:space="preserve"> </w:t>
      </w:r>
      <w:r w:rsidRPr="002D62EE">
        <w:rPr>
          <w:rFonts w:ascii="Times New Roman" w:hAnsi="Times New Roman" w:cs="Times New Roman"/>
          <w:sz w:val="24"/>
          <w:szCs w:val="24"/>
        </w:rPr>
        <w:t>caught in any given year</w:t>
      </w:r>
      <w:r w:rsidR="00CB6ED7">
        <w:rPr>
          <w:rFonts w:ascii="Times New Roman" w:hAnsi="Times New Roman" w:cs="Times New Roman"/>
          <w:sz w:val="24"/>
          <w:szCs w:val="24"/>
        </w:rPr>
        <w:t>. This will</w:t>
      </w:r>
      <w:r w:rsidRPr="002D62EE">
        <w:rPr>
          <w:rFonts w:ascii="Times New Roman" w:hAnsi="Times New Roman" w:cs="Times New Roman"/>
          <w:sz w:val="24"/>
          <w:szCs w:val="24"/>
        </w:rPr>
        <w:t xml:space="preserve"> be calculated at the end of each year and added to the following year’s obligation as a metric tonne amount. </w:t>
      </w:r>
    </w:p>
    <w:p w14:paraId="70D449AA" w14:textId="0FE0EA42" w:rsidR="00192A96" w:rsidRPr="00D65F6F" w:rsidRDefault="00192A96" w:rsidP="004070A0">
      <w:pPr>
        <w:rPr>
          <w:rFonts w:ascii="Times New Roman" w:hAnsi="Times New Roman" w:cs="Times New Roman"/>
          <w:b/>
          <w:bCs/>
          <w:i/>
          <w:sz w:val="24"/>
          <w:szCs w:val="24"/>
        </w:rPr>
      </w:pPr>
      <w:r w:rsidRPr="00D65F6F">
        <w:rPr>
          <w:rFonts w:ascii="Times New Roman" w:hAnsi="Times New Roman" w:cs="Times New Roman"/>
          <w:b/>
          <w:bCs/>
          <w:i/>
          <w:sz w:val="24"/>
          <w:szCs w:val="24"/>
        </w:rPr>
        <w:t>Trading of transhipment obligations</w:t>
      </w:r>
    </w:p>
    <w:p w14:paraId="55F976D8" w14:textId="1E714A5B" w:rsidR="004070A0" w:rsidRDefault="004070A0" w:rsidP="004070A0">
      <w:pPr>
        <w:rPr>
          <w:rFonts w:ascii="Times New Roman" w:hAnsi="Times New Roman" w:cs="Times New Roman"/>
          <w:sz w:val="24"/>
          <w:szCs w:val="24"/>
        </w:rPr>
      </w:pPr>
      <w:r w:rsidRPr="004070A0">
        <w:rPr>
          <w:rFonts w:ascii="Times New Roman" w:hAnsi="Times New Roman" w:cs="Times New Roman"/>
          <w:sz w:val="24"/>
          <w:szCs w:val="24"/>
        </w:rPr>
        <w:t>Transhipment obligations can be traded to other</w:t>
      </w:r>
      <w:r w:rsidR="002B52EC">
        <w:rPr>
          <w:rFonts w:ascii="Times New Roman" w:hAnsi="Times New Roman" w:cs="Times New Roman"/>
          <w:sz w:val="24"/>
          <w:szCs w:val="24"/>
        </w:rPr>
        <w:t xml:space="preserve"> ITQ B</w:t>
      </w:r>
      <w:r w:rsidRPr="004070A0">
        <w:rPr>
          <w:rFonts w:ascii="Times New Roman" w:hAnsi="Times New Roman" w:cs="Times New Roman"/>
          <w:sz w:val="24"/>
          <w:szCs w:val="24"/>
        </w:rPr>
        <w:t xml:space="preserve"> eligible companies</w:t>
      </w:r>
      <w:r>
        <w:rPr>
          <w:rFonts w:ascii="Times New Roman" w:hAnsi="Times New Roman" w:cs="Times New Roman"/>
          <w:sz w:val="24"/>
          <w:szCs w:val="24"/>
        </w:rPr>
        <w:t xml:space="preserve">. This must be notified </w:t>
      </w:r>
      <w:r w:rsidR="002B52EC">
        <w:rPr>
          <w:rFonts w:ascii="Times New Roman" w:hAnsi="Times New Roman" w:cs="Times New Roman"/>
          <w:sz w:val="24"/>
          <w:szCs w:val="24"/>
        </w:rPr>
        <w:t xml:space="preserve">to the Director </w:t>
      </w:r>
      <w:r w:rsidR="00D840A2">
        <w:rPr>
          <w:rFonts w:ascii="Times New Roman" w:hAnsi="Times New Roman" w:cs="Times New Roman"/>
          <w:sz w:val="24"/>
          <w:szCs w:val="24"/>
        </w:rPr>
        <w:t>by both companies</w:t>
      </w:r>
      <w:r w:rsidR="00192A96">
        <w:rPr>
          <w:rFonts w:ascii="Times New Roman" w:hAnsi="Times New Roman" w:cs="Times New Roman"/>
          <w:sz w:val="24"/>
          <w:szCs w:val="24"/>
        </w:rPr>
        <w:t>, and must be a trade of specific amount of product in metric tonnes.</w:t>
      </w:r>
      <w:r w:rsidR="00B82614">
        <w:rPr>
          <w:rFonts w:ascii="Times New Roman" w:hAnsi="Times New Roman" w:cs="Times New Roman"/>
          <w:sz w:val="24"/>
          <w:szCs w:val="24"/>
        </w:rPr>
        <w:t xml:space="preserve"> </w:t>
      </w:r>
      <w:r w:rsidRPr="004070A0">
        <w:rPr>
          <w:rFonts w:ascii="Times New Roman" w:hAnsi="Times New Roman" w:cs="Times New Roman"/>
          <w:sz w:val="24"/>
          <w:szCs w:val="24"/>
        </w:rPr>
        <w:t xml:space="preserve"> </w:t>
      </w:r>
    </w:p>
    <w:p w14:paraId="61BE785B" w14:textId="208C8918" w:rsidR="00192A96" w:rsidRPr="004070A0" w:rsidRDefault="00192A96" w:rsidP="004070A0">
      <w:pPr>
        <w:rPr>
          <w:rFonts w:ascii="Times New Roman" w:hAnsi="Times New Roman" w:cs="Times New Roman"/>
          <w:sz w:val="24"/>
          <w:szCs w:val="24"/>
        </w:rPr>
      </w:pPr>
      <w:r>
        <w:rPr>
          <w:rFonts w:ascii="Times New Roman" w:hAnsi="Times New Roman" w:cs="Times New Roman"/>
          <w:sz w:val="24"/>
          <w:szCs w:val="24"/>
        </w:rPr>
        <w:t>The company to whom the obligation has been traded will need to discharge the obligation, in addition to the obligations generated by the formula set out earlier in this guidance, within the current year</w:t>
      </w:r>
      <w:r w:rsidR="0068183B">
        <w:rPr>
          <w:rFonts w:ascii="Times New Roman" w:hAnsi="Times New Roman" w:cs="Times New Roman"/>
          <w:sz w:val="24"/>
          <w:szCs w:val="24"/>
        </w:rPr>
        <w:t>, or within the maximum ‘carry over’ as described above</w:t>
      </w:r>
      <w:r>
        <w:rPr>
          <w:rFonts w:ascii="Times New Roman" w:hAnsi="Times New Roman" w:cs="Times New Roman"/>
          <w:sz w:val="24"/>
          <w:szCs w:val="24"/>
        </w:rPr>
        <w:t>.</w:t>
      </w:r>
      <w:r w:rsidR="00B8261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56594C1" w14:textId="786D6886" w:rsidR="00192A96" w:rsidRPr="00831C4F" w:rsidRDefault="004070A0" w:rsidP="00CF55C4">
      <w:pPr>
        <w:rPr>
          <w:rFonts w:ascii="Times New Roman" w:hAnsi="Times New Roman" w:cs="Times New Roman"/>
          <w:sz w:val="24"/>
          <w:szCs w:val="24"/>
        </w:rPr>
      </w:pPr>
      <w:r w:rsidRPr="004070A0">
        <w:rPr>
          <w:rFonts w:ascii="Times New Roman" w:hAnsi="Times New Roman" w:cs="Times New Roman"/>
          <w:sz w:val="24"/>
          <w:szCs w:val="24"/>
        </w:rPr>
        <w:lastRenderedPageBreak/>
        <w:t xml:space="preserve">There will be no requirement to </w:t>
      </w:r>
      <w:r w:rsidR="00D42B39">
        <w:rPr>
          <w:rFonts w:ascii="Times New Roman" w:hAnsi="Times New Roman" w:cs="Times New Roman"/>
          <w:sz w:val="24"/>
          <w:szCs w:val="24"/>
        </w:rPr>
        <w:t xml:space="preserve">notify or </w:t>
      </w:r>
      <w:r w:rsidR="00192A96">
        <w:rPr>
          <w:rFonts w:ascii="Times New Roman" w:hAnsi="Times New Roman" w:cs="Times New Roman"/>
          <w:sz w:val="24"/>
          <w:szCs w:val="24"/>
        </w:rPr>
        <w:t xml:space="preserve">register </w:t>
      </w:r>
      <w:r w:rsidR="00D42B39">
        <w:rPr>
          <w:rFonts w:ascii="Times New Roman" w:hAnsi="Times New Roman" w:cs="Times New Roman"/>
          <w:sz w:val="24"/>
          <w:szCs w:val="24"/>
        </w:rPr>
        <w:t>a</w:t>
      </w:r>
      <w:r w:rsidR="00192A96">
        <w:rPr>
          <w:rFonts w:ascii="Times New Roman" w:hAnsi="Times New Roman" w:cs="Times New Roman"/>
          <w:sz w:val="24"/>
          <w:szCs w:val="24"/>
        </w:rPr>
        <w:t xml:space="preserve"> transfer of </w:t>
      </w:r>
      <w:r w:rsidRPr="004070A0">
        <w:rPr>
          <w:rFonts w:ascii="Times New Roman" w:hAnsi="Times New Roman" w:cs="Times New Roman"/>
          <w:sz w:val="24"/>
          <w:szCs w:val="24"/>
        </w:rPr>
        <w:t>transhipment obligations</w:t>
      </w:r>
      <w:r w:rsidR="00192A96">
        <w:rPr>
          <w:rFonts w:ascii="Times New Roman" w:hAnsi="Times New Roman" w:cs="Times New Roman"/>
          <w:sz w:val="24"/>
          <w:szCs w:val="24"/>
        </w:rPr>
        <w:t>,</w:t>
      </w:r>
      <w:r w:rsidR="00D42B39">
        <w:rPr>
          <w:rFonts w:ascii="Times New Roman" w:hAnsi="Times New Roman" w:cs="Times New Roman"/>
          <w:sz w:val="24"/>
          <w:szCs w:val="24"/>
        </w:rPr>
        <w:t xml:space="preserve"> arising as a result of a trade in </w:t>
      </w:r>
      <w:r w:rsidRPr="004070A0">
        <w:rPr>
          <w:rFonts w:ascii="Times New Roman" w:hAnsi="Times New Roman" w:cs="Times New Roman"/>
          <w:sz w:val="24"/>
          <w:szCs w:val="24"/>
        </w:rPr>
        <w:t>C</w:t>
      </w:r>
      <w:r w:rsidR="00192A96">
        <w:rPr>
          <w:rFonts w:ascii="Times New Roman" w:hAnsi="Times New Roman" w:cs="Times New Roman"/>
          <w:sz w:val="24"/>
          <w:szCs w:val="24"/>
        </w:rPr>
        <w:t xml:space="preserve">atch </w:t>
      </w:r>
      <w:r w:rsidRPr="004070A0">
        <w:rPr>
          <w:rFonts w:ascii="Times New Roman" w:hAnsi="Times New Roman" w:cs="Times New Roman"/>
          <w:sz w:val="24"/>
          <w:szCs w:val="24"/>
        </w:rPr>
        <w:t>E</w:t>
      </w:r>
      <w:r w:rsidR="00192A96">
        <w:rPr>
          <w:rFonts w:ascii="Times New Roman" w:hAnsi="Times New Roman" w:cs="Times New Roman"/>
          <w:sz w:val="24"/>
          <w:szCs w:val="24"/>
        </w:rPr>
        <w:t xml:space="preserve">ntitlement. The </w:t>
      </w:r>
      <w:r w:rsidRPr="004070A0">
        <w:rPr>
          <w:rFonts w:ascii="Times New Roman" w:hAnsi="Times New Roman" w:cs="Times New Roman"/>
          <w:sz w:val="24"/>
          <w:szCs w:val="24"/>
        </w:rPr>
        <w:t xml:space="preserve">transhipment obligation will </w:t>
      </w:r>
      <w:r w:rsidR="00192A96">
        <w:rPr>
          <w:rFonts w:ascii="Times New Roman" w:hAnsi="Times New Roman" w:cs="Times New Roman"/>
          <w:sz w:val="24"/>
          <w:szCs w:val="24"/>
        </w:rPr>
        <w:t xml:space="preserve">adjust </w:t>
      </w:r>
      <w:r w:rsidRPr="0076328B">
        <w:rPr>
          <w:rFonts w:ascii="Times New Roman" w:hAnsi="Times New Roman" w:cs="Times New Roman"/>
          <w:sz w:val="24"/>
          <w:szCs w:val="24"/>
        </w:rPr>
        <w:t>automatically</w:t>
      </w:r>
      <w:r w:rsidR="00192A96" w:rsidRPr="00831C4F">
        <w:rPr>
          <w:rFonts w:ascii="Times New Roman" w:hAnsi="Times New Roman" w:cs="Times New Roman"/>
          <w:sz w:val="24"/>
          <w:szCs w:val="24"/>
        </w:rPr>
        <w:t>, as it will be calculated as a percentage of available product.</w:t>
      </w:r>
    </w:p>
    <w:p w14:paraId="16F82E20" w14:textId="20727E85" w:rsidR="0076328B" w:rsidRPr="00D65F6F" w:rsidRDefault="0076328B" w:rsidP="0076328B">
      <w:pPr>
        <w:rPr>
          <w:rFonts w:ascii="Times New Roman" w:hAnsi="Times New Roman" w:cs="Times New Roman"/>
          <w:b/>
          <w:bCs/>
          <w:i/>
          <w:sz w:val="24"/>
          <w:szCs w:val="24"/>
        </w:rPr>
      </w:pPr>
      <w:r w:rsidRPr="00D65F6F">
        <w:rPr>
          <w:rFonts w:ascii="Times New Roman" w:hAnsi="Times New Roman" w:cs="Times New Roman"/>
          <w:b/>
          <w:bCs/>
          <w:i/>
          <w:sz w:val="24"/>
          <w:szCs w:val="24"/>
        </w:rPr>
        <w:t>Transhipment obligations – worked examples</w:t>
      </w:r>
    </w:p>
    <w:p w14:paraId="636C817E" w14:textId="53E65D56" w:rsidR="0076328B" w:rsidRPr="00831C4F" w:rsidRDefault="0076328B" w:rsidP="0076328B">
      <w:pPr>
        <w:rPr>
          <w:rFonts w:ascii="Times New Roman" w:hAnsi="Times New Roman" w:cs="Times New Roman"/>
          <w:iCs/>
          <w:sz w:val="24"/>
          <w:szCs w:val="24"/>
        </w:rPr>
      </w:pPr>
      <w:r>
        <w:rPr>
          <w:rFonts w:ascii="Times New Roman" w:hAnsi="Times New Roman" w:cs="Times New Roman"/>
          <w:iCs/>
          <w:sz w:val="24"/>
          <w:szCs w:val="24"/>
        </w:rPr>
        <w:t>The table below illustrates how a company’s transhipment obligation</w:t>
      </w:r>
      <w:r w:rsidR="00D65F6F">
        <w:rPr>
          <w:rFonts w:ascii="Times New Roman" w:hAnsi="Times New Roman" w:cs="Times New Roman"/>
          <w:iCs/>
          <w:sz w:val="24"/>
          <w:szCs w:val="24"/>
        </w:rPr>
        <w:t xml:space="preserve"> and its performance </w:t>
      </w:r>
      <w:r w:rsidR="00023BE7">
        <w:rPr>
          <w:rFonts w:ascii="Times New Roman" w:hAnsi="Times New Roman" w:cs="Times New Roman"/>
          <w:iCs/>
          <w:sz w:val="24"/>
          <w:szCs w:val="24"/>
        </w:rPr>
        <w:t>against their annual milestone</w:t>
      </w:r>
      <w:r>
        <w:rPr>
          <w:rFonts w:ascii="Times New Roman" w:hAnsi="Times New Roman" w:cs="Times New Roman"/>
          <w:iCs/>
          <w:sz w:val="24"/>
          <w:szCs w:val="24"/>
        </w:rPr>
        <w:t xml:space="preserve"> will be calculated from its available product, taking into account trading and carry over. Please note that the numbers used are for demonstration purposes only, and are not intended to represent realistic figures for metric tonnes of product. </w:t>
      </w:r>
    </w:p>
    <w:tbl>
      <w:tblPr>
        <w:tblStyle w:val="TableGrid"/>
        <w:tblW w:w="9782" w:type="dxa"/>
        <w:tblInd w:w="-289" w:type="dxa"/>
        <w:tblLook w:val="04A0" w:firstRow="1" w:lastRow="0" w:firstColumn="1" w:lastColumn="0" w:noHBand="0" w:noVBand="1"/>
      </w:tblPr>
      <w:tblGrid>
        <w:gridCol w:w="1991"/>
        <w:gridCol w:w="1554"/>
        <w:gridCol w:w="1559"/>
        <w:gridCol w:w="1559"/>
        <w:gridCol w:w="1559"/>
        <w:gridCol w:w="1560"/>
      </w:tblGrid>
      <w:tr w:rsidR="006268ED" w:rsidRPr="00D5576E" w14:paraId="230A2C89" w14:textId="77777777" w:rsidTr="006268ED">
        <w:trPr>
          <w:trHeight w:val="385"/>
        </w:trPr>
        <w:tc>
          <w:tcPr>
            <w:tcW w:w="1991" w:type="dxa"/>
          </w:tcPr>
          <w:p w14:paraId="4A0E2FB5" w14:textId="77777777" w:rsidR="0076328B" w:rsidRPr="00D5576E" w:rsidRDefault="0076328B" w:rsidP="00EA2BC8">
            <w:pPr>
              <w:rPr>
                <w:rFonts w:ascii="Times New Roman" w:hAnsi="Times New Roman" w:cs="Times New Roman"/>
                <w:b/>
                <w:sz w:val="24"/>
                <w:szCs w:val="24"/>
              </w:rPr>
            </w:pPr>
          </w:p>
        </w:tc>
        <w:tc>
          <w:tcPr>
            <w:tcW w:w="1554" w:type="dxa"/>
          </w:tcPr>
          <w:p w14:paraId="1D49016E"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Company A</w:t>
            </w:r>
          </w:p>
        </w:tc>
        <w:tc>
          <w:tcPr>
            <w:tcW w:w="1559" w:type="dxa"/>
          </w:tcPr>
          <w:p w14:paraId="14C8A82A"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Company B</w:t>
            </w:r>
          </w:p>
        </w:tc>
        <w:tc>
          <w:tcPr>
            <w:tcW w:w="1559" w:type="dxa"/>
          </w:tcPr>
          <w:p w14:paraId="70E80682"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Company C</w:t>
            </w:r>
          </w:p>
        </w:tc>
        <w:tc>
          <w:tcPr>
            <w:tcW w:w="1559" w:type="dxa"/>
          </w:tcPr>
          <w:p w14:paraId="104E8C5C"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Company D</w:t>
            </w:r>
          </w:p>
        </w:tc>
        <w:tc>
          <w:tcPr>
            <w:tcW w:w="1560" w:type="dxa"/>
          </w:tcPr>
          <w:p w14:paraId="306B64E3"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Company E</w:t>
            </w:r>
          </w:p>
        </w:tc>
      </w:tr>
      <w:tr w:rsidR="006268ED" w:rsidRPr="00D5576E" w14:paraId="2D13300D" w14:textId="77777777" w:rsidTr="006268ED">
        <w:trPr>
          <w:trHeight w:val="676"/>
        </w:trPr>
        <w:tc>
          <w:tcPr>
            <w:tcW w:w="1991" w:type="dxa"/>
          </w:tcPr>
          <w:p w14:paraId="42FDC889" w14:textId="588AE416"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A: Available product</w:t>
            </w:r>
          </w:p>
        </w:tc>
        <w:tc>
          <w:tcPr>
            <w:tcW w:w="1554" w:type="dxa"/>
          </w:tcPr>
          <w:p w14:paraId="1D030783"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10000</w:t>
            </w:r>
          </w:p>
        </w:tc>
        <w:tc>
          <w:tcPr>
            <w:tcW w:w="1559" w:type="dxa"/>
          </w:tcPr>
          <w:p w14:paraId="1843FAF8"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5000</w:t>
            </w:r>
          </w:p>
        </w:tc>
        <w:tc>
          <w:tcPr>
            <w:tcW w:w="1559" w:type="dxa"/>
          </w:tcPr>
          <w:p w14:paraId="02FFAF6C"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2000</w:t>
            </w:r>
          </w:p>
        </w:tc>
        <w:tc>
          <w:tcPr>
            <w:tcW w:w="1559" w:type="dxa"/>
          </w:tcPr>
          <w:p w14:paraId="25F985F9"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10000</w:t>
            </w:r>
          </w:p>
        </w:tc>
        <w:tc>
          <w:tcPr>
            <w:tcW w:w="1560" w:type="dxa"/>
          </w:tcPr>
          <w:p w14:paraId="70955CBA"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5000</w:t>
            </w:r>
          </w:p>
        </w:tc>
      </w:tr>
      <w:tr w:rsidR="006268ED" w:rsidRPr="00D5576E" w14:paraId="48CE5CDD" w14:textId="77777777" w:rsidTr="006268ED">
        <w:trPr>
          <w:trHeight w:val="417"/>
        </w:trPr>
        <w:tc>
          <w:tcPr>
            <w:tcW w:w="1991" w:type="dxa"/>
          </w:tcPr>
          <w:p w14:paraId="7DE40DA8" w14:textId="683D30BD"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x 30%</w:t>
            </w:r>
          </w:p>
        </w:tc>
        <w:tc>
          <w:tcPr>
            <w:tcW w:w="1554" w:type="dxa"/>
          </w:tcPr>
          <w:p w14:paraId="30ECE556"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x 30%</w:t>
            </w:r>
          </w:p>
        </w:tc>
        <w:tc>
          <w:tcPr>
            <w:tcW w:w="1559" w:type="dxa"/>
          </w:tcPr>
          <w:p w14:paraId="6D49872A" w14:textId="2E7EAB83" w:rsidR="0076328B" w:rsidRPr="00D5576E" w:rsidRDefault="0076328B" w:rsidP="007E450B">
            <w:pPr>
              <w:jc w:val="right"/>
              <w:rPr>
                <w:rFonts w:ascii="Times New Roman" w:hAnsi="Times New Roman" w:cs="Times New Roman"/>
              </w:rPr>
            </w:pPr>
            <w:r w:rsidRPr="00D5576E">
              <w:rPr>
                <w:rFonts w:ascii="Times New Roman" w:hAnsi="Times New Roman" w:cs="Times New Roman"/>
              </w:rPr>
              <w:t>x 30%</w:t>
            </w:r>
          </w:p>
        </w:tc>
        <w:tc>
          <w:tcPr>
            <w:tcW w:w="1559" w:type="dxa"/>
          </w:tcPr>
          <w:p w14:paraId="1BA0A189" w14:textId="4C868E24" w:rsidR="0076328B" w:rsidRPr="00D5576E" w:rsidRDefault="0076328B" w:rsidP="007E450B">
            <w:pPr>
              <w:jc w:val="right"/>
              <w:rPr>
                <w:rFonts w:ascii="Times New Roman" w:hAnsi="Times New Roman" w:cs="Times New Roman"/>
              </w:rPr>
            </w:pPr>
            <w:r w:rsidRPr="00D5576E">
              <w:rPr>
                <w:rFonts w:ascii="Times New Roman" w:hAnsi="Times New Roman" w:cs="Times New Roman"/>
              </w:rPr>
              <w:t>x 30%</w:t>
            </w:r>
          </w:p>
        </w:tc>
        <w:tc>
          <w:tcPr>
            <w:tcW w:w="1559" w:type="dxa"/>
          </w:tcPr>
          <w:p w14:paraId="4CE5EF0C" w14:textId="6107D4D7" w:rsidR="0076328B" w:rsidRPr="00D5576E" w:rsidRDefault="0076328B" w:rsidP="007E450B">
            <w:pPr>
              <w:jc w:val="right"/>
              <w:rPr>
                <w:rFonts w:ascii="Times New Roman" w:hAnsi="Times New Roman" w:cs="Times New Roman"/>
              </w:rPr>
            </w:pPr>
            <w:r w:rsidRPr="00D5576E">
              <w:rPr>
                <w:rFonts w:ascii="Times New Roman" w:hAnsi="Times New Roman" w:cs="Times New Roman"/>
              </w:rPr>
              <w:t>x 30%</w:t>
            </w:r>
          </w:p>
        </w:tc>
        <w:tc>
          <w:tcPr>
            <w:tcW w:w="1560" w:type="dxa"/>
          </w:tcPr>
          <w:p w14:paraId="117ECEC0" w14:textId="047D2D2D" w:rsidR="0076328B" w:rsidRPr="00D5576E" w:rsidRDefault="0076328B" w:rsidP="007E450B">
            <w:pPr>
              <w:jc w:val="right"/>
              <w:rPr>
                <w:rFonts w:ascii="Times New Roman" w:hAnsi="Times New Roman" w:cs="Times New Roman"/>
              </w:rPr>
            </w:pPr>
            <w:r w:rsidRPr="00D5576E">
              <w:rPr>
                <w:rFonts w:ascii="Times New Roman" w:hAnsi="Times New Roman" w:cs="Times New Roman"/>
              </w:rPr>
              <w:t>x 30%</w:t>
            </w:r>
          </w:p>
        </w:tc>
      </w:tr>
      <w:tr w:rsidR="006268ED" w:rsidRPr="00D5576E" w14:paraId="480D2393" w14:textId="77777777" w:rsidTr="006268ED">
        <w:trPr>
          <w:trHeight w:val="971"/>
        </w:trPr>
        <w:tc>
          <w:tcPr>
            <w:tcW w:w="1991" w:type="dxa"/>
          </w:tcPr>
          <w:p w14:paraId="2FCD5E35"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 xml:space="preserve">B: Company’s in-year obligation </w:t>
            </w:r>
          </w:p>
        </w:tc>
        <w:tc>
          <w:tcPr>
            <w:tcW w:w="1554" w:type="dxa"/>
          </w:tcPr>
          <w:p w14:paraId="74A3DB83"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3000</w:t>
            </w:r>
          </w:p>
        </w:tc>
        <w:tc>
          <w:tcPr>
            <w:tcW w:w="1559" w:type="dxa"/>
          </w:tcPr>
          <w:p w14:paraId="4D291CA3"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1500</w:t>
            </w:r>
          </w:p>
        </w:tc>
        <w:tc>
          <w:tcPr>
            <w:tcW w:w="1559" w:type="dxa"/>
          </w:tcPr>
          <w:p w14:paraId="3D3C705B"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600</w:t>
            </w:r>
          </w:p>
        </w:tc>
        <w:tc>
          <w:tcPr>
            <w:tcW w:w="1559" w:type="dxa"/>
          </w:tcPr>
          <w:p w14:paraId="52AF366A"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3000</w:t>
            </w:r>
          </w:p>
        </w:tc>
        <w:tc>
          <w:tcPr>
            <w:tcW w:w="1560" w:type="dxa"/>
          </w:tcPr>
          <w:p w14:paraId="26C754CE"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1500</w:t>
            </w:r>
          </w:p>
        </w:tc>
      </w:tr>
      <w:tr w:rsidR="006268ED" w:rsidRPr="00D5576E" w14:paraId="13242EF5" w14:textId="77777777" w:rsidTr="006268ED">
        <w:trPr>
          <w:trHeight w:val="688"/>
        </w:trPr>
        <w:tc>
          <w:tcPr>
            <w:tcW w:w="1991" w:type="dxa"/>
          </w:tcPr>
          <w:p w14:paraId="05F35856" w14:textId="32B4C5E3"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C: + Any carry over</w:t>
            </w:r>
          </w:p>
        </w:tc>
        <w:tc>
          <w:tcPr>
            <w:tcW w:w="1554" w:type="dxa"/>
          </w:tcPr>
          <w:p w14:paraId="63909F0D"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0</w:t>
            </w:r>
          </w:p>
        </w:tc>
        <w:tc>
          <w:tcPr>
            <w:tcW w:w="1559" w:type="dxa"/>
          </w:tcPr>
          <w:p w14:paraId="3E329E53"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0</w:t>
            </w:r>
          </w:p>
        </w:tc>
        <w:tc>
          <w:tcPr>
            <w:tcW w:w="1559" w:type="dxa"/>
          </w:tcPr>
          <w:p w14:paraId="36F09F82"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0</w:t>
            </w:r>
          </w:p>
        </w:tc>
        <w:tc>
          <w:tcPr>
            <w:tcW w:w="1559" w:type="dxa"/>
          </w:tcPr>
          <w:p w14:paraId="48241166"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1000</w:t>
            </w:r>
          </w:p>
        </w:tc>
        <w:tc>
          <w:tcPr>
            <w:tcW w:w="1560" w:type="dxa"/>
          </w:tcPr>
          <w:p w14:paraId="2ABC415C"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0</w:t>
            </w:r>
          </w:p>
        </w:tc>
      </w:tr>
      <w:tr w:rsidR="006268ED" w:rsidRPr="00D5576E" w14:paraId="1753E114" w14:textId="77777777" w:rsidTr="006268ED">
        <w:trPr>
          <w:trHeight w:val="853"/>
        </w:trPr>
        <w:tc>
          <w:tcPr>
            <w:tcW w:w="1991" w:type="dxa"/>
          </w:tcPr>
          <w:p w14:paraId="6E2A19E2"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D: Adjusted obligation</w:t>
            </w:r>
          </w:p>
          <w:p w14:paraId="602FEBBC"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 xml:space="preserve">(B + C) </w:t>
            </w:r>
          </w:p>
        </w:tc>
        <w:tc>
          <w:tcPr>
            <w:tcW w:w="1554" w:type="dxa"/>
          </w:tcPr>
          <w:p w14:paraId="29737639"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3000</w:t>
            </w:r>
          </w:p>
        </w:tc>
        <w:tc>
          <w:tcPr>
            <w:tcW w:w="1559" w:type="dxa"/>
          </w:tcPr>
          <w:p w14:paraId="4D8B23E6"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1500</w:t>
            </w:r>
          </w:p>
        </w:tc>
        <w:tc>
          <w:tcPr>
            <w:tcW w:w="1559" w:type="dxa"/>
          </w:tcPr>
          <w:p w14:paraId="6DED1B6C"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600</w:t>
            </w:r>
          </w:p>
        </w:tc>
        <w:tc>
          <w:tcPr>
            <w:tcW w:w="1559" w:type="dxa"/>
          </w:tcPr>
          <w:p w14:paraId="3C41FB84"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4000</w:t>
            </w:r>
          </w:p>
        </w:tc>
        <w:tc>
          <w:tcPr>
            <w:tcW w:w="1560" w:type="dxa"/>
          </w:tcPr>
          <w:p w14:paraId="4A5AC567"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1500</w:t>
            </w:r>
          </w:p>
        </w:tc>
      </w:tr>
      <w:tr w:rsidR="006268ED" w:rsidRPr="00D5576E" w14:paraId="624ABE9A" w14:textId="77777777" w:rsidTr="006268ED">
        <w:trPr>
          <w:trHeight w:val="696"/>
        </w:trPr>
        <w:tc>
          <w:tcPr>
            <w:tcW w:w="1991" w:type="dxa"/>
          </w:tcPr>
          <w:p w14:paraId="07EE7BE2"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E: Actual transhipment</w:t>
            </w:r>
          </w:p>
        </w:tc>
        <w:tc>
          <w:tcPr>
            <w:tcW w:w="1554" w:type="dxa"/>
          </w:tcPr>
          <w:p w14:paraId="631348BE"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2500</w:t>
            </w:r>
          </w:p>
        </w:tc>
        <w:tc>
          <w:tcPr>
            <w:tcW w:w="1559" w:type="dxa"/>
          </w:tcPr>
          <w:p w14:paraId="75DA9157"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2000</w:t>
            </w:r>
          </w:p>
        </w:tc>
        <w:tc>
          <w:tcPr>
            <w:tcW w:w="1559" w:type="dxa"/>
          </w:tcPr>
          <w:p w14:paraId="5D069B28"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200</w:t>
            </w:r>
          </w:p>
        </w:tc>
        <w:tc>
          <w:tcPr>
            <w:tcW w:w="1559" w:type="dxa"/>
          </w:tcPr>
          <w:p w14:paraId="617B44BE"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3500</w:t>
            </w:r>
          </w:p>
        </w:tc>
        <w:tc>
          <w:tcPr>
            <w:tcW w:w="1560" w:type="dxa"/>
          </w:tcPr>
          <w:p w14:paraId="5109067D"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200</w:t>
            </w:r>
          </w:p>
        </w:tc>
      </w:tr>
      <w:tr w:rsidR="006268ED" w:rsidRPr="00D5576E" w14:paraId="1BCF96F3" w14:textId="77777777" w:rsidTr="006268ED">
        <w:trPr>
          <w:trHeight w:val="444"/>
        </w:trPr>
        <w:tc>
          <w:tcPr>
            <w:tcW w:w="1991" w:type="dxa"/>
          </w:tcPr>
          <w:p w14:paraId="6C6074E6" w14:textId="12A2D830"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F: +/- Trade(s)</w:t>
            </w:r>
          </w:p>
        </w:tc>
        <w:tc>
          <w:tcPr>
            <w:tcW w:w="1554" w:type="dxa"/>
          </w:tcPr>
          <w:p w14:paraId="4B719F47"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0</w:t>
            </w:r>
          </w:p>
        </w:tc>
        <w:tc>
          <w:tcPr>
            <w:tcW w:w="1559" w:type="dxa"/>
          </w:tcPr>
          <w:p w14:paraId="60F84D38"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-400</w:t>
            </w:r>
          </w:p>
        </w:tc>
        <w:tc>
          <w:tcPr>
            <w:tcW w:w="1559" w:type="dxa"/>
          </w:tcPr>
          <w:p w14:paraId="30B742CC"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+400</w:t>
            </w:r>
          </w:p>
        </w:tc>
        <w:tc>
          <w:tcPr>
            <w:tcW w:w="1559" w:type="dxa"/>
          </w:tcPr>
          <w:p w14:paraId="018A63B4"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0</w:t>
            </w:r>
          </w:p>
        </w:tc>
        <w:tc>
          <w:tcPr>
            <w:tcW w:w="1560" w:type="dxa"/>
          </w:tcPr>
          <w:p w14:paraId="351FB0D4"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+500</w:t>
            </w:r>
          </w:p>
        </w:tc>
      </w:tr>
      <w:tr w:rsidR="006268ED" w:rsidRPr="00D5576E" w14:paraId="65747DAC" w14:textId="77777777" w:rsidTr="006268ED">
        <w:trPr>
          <w:trHeight w:val="954"/>
        </w:trPr>
        <w:tc>
          <w:tcPr>
            <w:tcW w:w="1991" w:type="dxa"/>
          </w:tcPr>
          <w:p w14:paraId="05DEB6C5"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G: Adjusted transhipment (E + F)</w:t>
            </w:r>
          </w:p>
        </w:tc>
        <w:tc>
          <w:tcPr>
            <w:tcW w:w="1554" w:type="dxa"/>
          </w:tcPr>
          <w:p w14:paraId="4C164E2A"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2500</w:t>
            </w:r>
          </w:p>
        </w:tc>
        <w:tc>
          <w:tcPr>
            <w:tcW w:w="1559" w:type="dxa"/>
          </w:tcPr>
          <w:p w14:paraId="0EC171FF"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1600</w:t>
            </w:r>
          </w:p>
        </w:tc>
        <w:tc>
          <w:tcPr>
            <w:tcW w:w="1559" w:type="dxa"/>
          </w:tcPr>
          <w:p w14:paraId="2E3EFF6E"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600</w:t>
            </w:r>
          </w:p>
        </w:tc>
        <w:tc>
          <w:tcPr>
            <w:tcW w:w="1559" w:type="dxa"/>
          </w:tcPr>
          <w:p w14:paraId="41D9F6DA"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3500</w:t>
            </w:r>
          </w:p>
        </w:tc>
        <w:tc>
          <w:tcPr>
            <w:tcW w:w="1560" w:type="dxa"/>
          </w:tcPr>
          <w:p w14:paraId="61DFE581"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700</w:t>
            </w:r>
          </w:p>
        </w:tc>
      </w:tr>
      <w:tr w:rsidR="006268ED" w:rsidRPr="00D5576E" w14:paraId="0FB5E3C3" w14:textId="77777777" w:rsidTr="006268ED">
        <w:trPr>
          <w:trHeight w:val="982"/>
        </w:trPr>
        <w:tc>
          <w:tcPr>
            <w:tcW w:w="1991" w:type="dxa"/>
          </w:tcPr>
          <w:p w14:paraId="41061A55"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H: Excess/(shortfall)</w:t>
            </w:r>
          </w:p>
          <w:p w14:paraId="222D0978"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 xml:space="preserve">(G – D) </w:t>
            </w:r>
          </w:p>
        </w:tc>
        <w:tc>
          <w:tcPr>
            <w:tcW w:w="1554" w:type="dxa"/>
          </w:tcPr>
          <w:p w14:paraId="34D10B39"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-500</w:t>
            </w:r>
          </w:p>
        </w:tc>
        <w:tc>
          <w:tcPr>
            <w:tcW w:w="1559" w:type="dxa"/>
          </w:tcPr>
          <w:p w14:paraId="52A86040"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+100</w:t>
            </w:r>
          </w:p>
        </w:tc>
        <w:tc>
          <w:tcPr>
            <w:tcW w:w="1559" w:type="dxa"/>
          </w:tcPr>
          <w:p w14:paraId="20814939"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0</w:t>
            </w:r>
          </w:p>
        </w:tc>
        <w:tc>
          <w:tcPr>
            <w:tcW w:w="1559" w:type="dxa"/>
          </w:tcPr>
          <w:p w14:paraId="1AE2DE9C"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-500</w:t>
            </w:r>
          </w:p>
        </w:tc>
        <w:tc>
          <w:tcPr>
            <w:tcW w:w="1560" w:type="dxa"/>
          </w:tcPr>
          <w:p w14:paraId="0C82C46B"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-800</w:t>
            </w:r>
          </w:p>
        </w:tc>
      </w:tr>
      <w:tr w:rsidR="006268ED" w:rsidRPr="00D5576E" w14:paraId="2B3F163C" w14:textId="77777777" w:rsidTr="006268ED">
        <w:trPr>
          <w:trHeight w:val="995"/>
        </w:trPr>
        <w:tc>
          <w:tcPr>
            <w:tcW w:w="1991" w:type="dxa"/>
          </w:tcPr>
          <w:p w14:paraId="4FEF6DBB"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I: % Excess/shortfall</w:t>
            </w:r>
          </w:p>
          <w:p w14:paraId="2F517A1F" w14:textId="63DD84AC"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(H / A)</w:t>
            </w:r>
          </w:p>
        </w:tc>
        <w:tc>
          <w:tcPr>
            <w:tcW w:w="1554" w:type="dxa"/>
          </w:tcPr>
          <w:p w14:paraId="63C6D346"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-5%</w:t>
            </w:r>
          </w:p>
        </w:tc>
        <w:tc>
          <w:tcPr>
            <w:tcW w:w="1559" w:type="dxa"/>
          </w:tcPr>
          <w:p w14:paraId="5DA4005D"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+2%</w:t>
            </w:r>
          </w:p>
        </w:tc>
        <w:tc>
          <w:tcPr>
            <w:tcW w:w="1559" w:type="dxa"/>
          </w:tcPr>
          <w:p w14:paraId="77AEEB1D"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0</w:t>
            </w:r>
          </w:p>
        </w:tc>
        <w:tc>
          <w:tcPr>
            <w:tcW w:w="1559" w:type="dxa"/>
          </w:tcPr>
          <w:p w14:paraId="0C7EB6FE"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-5%</w:t>
            </w:r>
          </w:p>
        </w:tc>
        <w:tc>
          <w:tcPr>
            <w:tcW w:w="1560" w:type="dxa"/>
          </w:tcPr>
          <w:p w14:paraId="743EE0B3" w14:textId="77777777" w:rsidR="0076328B" w:rsidRPr="00D5576E" w:rsidRDefault="0076328B" w:rsidP="00EA2BC8">
            <w:pPr>
              <w:jc w:val="right"/>
              <w:rPr>
                <w:rFonts w:ascii="Times New Roman" w:hAnsi="Times New Roman" w:cs="Times New Roman"/>
              </w:rPr>
            </w:pPr>
            <w:r w:rsidRPr="00D5576E">
              <w:rPr>
                <w:rFonts w:ascii="Times New Roman" w:hAnsi="Times New Roman" w:cs="Times New Roman"/>
              </w:rPr>
              <w:t>-16%</w:t>
            </w:r>
          </w:p>
        </w:tc>
      </w:tr>
      <w:tr w:rsidR="006268ED" w:rsidRPr="00D5576E" w14:paraId="141760C6" w14:textId="77777777" w:rsidTr="006268ED">
        <w:tc>
          <w:tcPr>
            <w:tcW w:w="1991" w:type="dxa"/>
          </w:tcPr>
          <w:p w14:paraId="2E44C228" w14:textId="77777777" w:rsidR="0076328B" w:rsidRPr="00D5576E" w:rsidRDefault="0076328B" w:rsidP="00EA2BC8">
            <w:pPr>
              <w:rPr>
                <w:rFonts w:ascii="Times New Roman" w:hAnsi="Times New Roman" w:cs="Times New Roman"/>
                <w:b/>
                <w:sz w:val="24"/>
                <w:szCs w:val="24"/>
              </w:rPr>
            </w:pPr>
            <w:r w:rsidRPr="00D5576E">
              <w:rPr>
                <w:rFonts w:ascii="Times New Roman" w:hAnsi="Times New Roman" w:cs="Times New Roman"/>
                <w:b/>
                <w:sz w:val="24"/>
                <w:szCs w:val="24"/>
              </w:rPr>
              <w:t>Outcome</w:t>
            </w:r>
          </w:p>
          <w:p w14:paraId="1ED94184" w14:textId="77777777" w:rsidR="0076328B" w:rsidRPr="00D5576E" w:rsidRDefault="0076328B" w:rsidP="00EA2BC8">
            <w:pPr>
              <w:rPr>
                <w:rFonts w:ascii="Times New Roman" w:hAnsi="Times New Roman" w:cs="Times New Roman"/>
                <w:b/>
                <w:sz w:val="24"/>
                <w:szCs w:val="24"/>
              </w:rPr>
            </w:pPr>
          </w:p>
        </w:tc>
        <w:tc>
          <w:tcPr>
            <w:tcW w:w="1554" w:type="dxa"/>
          </w:tcPr>
          <w:p w14:paraId="050CC89C" w14:textId="04D62AB1" w:rsidR="008213C6" w:rsidRPr="00D5576E" w:rsidRDefault="008213C6" w:rsidP="00EA2BC8">
            <w:pPr>
              <w:jc w:val="center"/>
              <w:rPr>
                <w:rFonts w:ascii="Times New Roman" w:hAnsi="Times New Roman" w:cs="Times New Roman"/>
              </w:rPr>
            </w:pPr>
            <w:r w:rsidRPr="00D5576E">
              <w:rPr>
                <w:rFonts w:ascii="Times New Roman" w:hAnsi="Times New Roman" w:cs="Times New Roman"/>
              </w:rPr>
              <w:t>&lt;10% shortfall</w:t>
            </w:r>
          </w:p>
          <w:p w14:paraId="08DBB504" w14:textId="6540E136" w:rsidR="0076328B" w:rsidRPr="00D5576E" w:rsidRDefault="0076328B" w:rsidP="00EA2BC8">
            <w:pPr>
              <w:jc w:val="center"/>
              <w:rPr>
                <w:rFonts w:ascii="Times New Roman" w:hAnsi="Times New Roman" w:cs="Times New Roman"/>
              </w:rPr>
            </w:pPr>
            <w:r w:rsidRPr="00D5576E">
              <w:rPr>
                <w:rFonts w:ascii="Times New Roman" w:hAnsi="Times New Roman" w:cs="Times New Roman"/>
              </w:rPr>
              <w:t>Carry over</w:t>
            </w:r>
          </w:p>
          <w:p w14:paraId="381E3BA7" w14:textId="7A59D439" w:rsidR="0076328B" w:rsidRPr="00D5576E" w:rsidRDefault="0076328B" w:rsidP="00EA2BC8">
            <w:pPr>
              <w:jc w:val="center"/>
              <w:rPr>
                <w:rFonts w:ascii="Times New Roman" w:hAnsi="Times New Roman" w:cs="Times New Roman"/>
              </w:rPr>
            </w:pPr>
            <w:r w:rsidRPr="00D5576E">
              <w:rPr>
                <w:rFonts w:ascii="Times New Roman" w:hAnsi="Times New Roman" w:cs="Times New Roman"/>
              </w:rPr>
              <w:t>+500 to next year’s obligation</w:t>
            </w:r>
          </w:p>
          <w:p w14:paraId="0FB31549" w14:textId="7D5033AF" w:rsidR="0076328B" w:rsidRPr="00D5576E" w:rsidRDefault="0076328B" w:rsidP="00831C4F">
            <w:pPr>
              <w:rPr>
                <w:rFonts w:ascii="Times New Roman" w:hAnsi="Times New Roman" w:cs="Times New Roman"/>
              </w:rPr>
            </w:pPr>
          </w:p>
        </w:tc>
        <w:tc>
          <w:tcPr>
            <w:tcW w:w="1559" w:type="dxa"/>
          </w:tcPr>
          <w:p w14:paraId="24047E95" w14:textId="5D775E85" w:rsidR="0076328B" w:rsidRPr="00D5576E" w:rsidRDefault="0076328B" w:rsidP="00EA2BC8">
            <w:pPr>
              <w:jc w:val="center"/>
              <w:rPr>
                <w:rFonts w:ascii="Times New Roman" w:hAnsi="Times New Roman" w:cs="Times New Roman"/>
              </w:rPr>
            </w:pPr>
            <w:r w:rsidRPr="00D5576E">
              <w:rPr>
                <w:rFonts w:ascii="Times New Roman" w:hAnsi="Times New Roman" w:cs="Times New Roman"/>
              </w:rPr>
              <w:t>Exceeds</w:t>
            </w:r>
          </w:p>
          <w:p w14:paraId="64444B10" w14:textId="32DDAE91" w:rsidR="0076328B" w:rsidRPr="00D5576E" w:rsidRDefault="0076328B" w:rsidP="00EA2BC8">
            <w:pPr>
              <w:jc w:val="center"/>
              <w:rPr>
                <w:rFonts w:ascii="Times New Roman" w:hAnsi="Times New Roman" w:cs="Times New Roman"/>
              </w:rPr>
            </w:pPr>
            <w:r w:rsidRPr="00D5576E">
              <w:rPr>
                <w:rFonts w:ascii="Times New Roman" w:hAnsi="Times New Roman" w:cs="Times New Roman"/>
              </w:rPr>
              <w:t>No impact on next year’s obligation</w:t>
            </w:r>
          </w:p>
        </w:tc>
        <w:tc>
          <w:tcPr>
            <w:tcW w:w="1559" w:type="dxa"/>
          </w:tcPr>
          <w:p w14:paraId="41FC1098" w14:textId="1C0A9809" w:rsidR="0076328B" w:rsidRPr="00D5576E" w:rsidRDefault="0076328B" w:rsidP="00EA2BC8">
            <w:pPr>
              <w:jc w:val="center"/>
              <w:rPr>
                <w:rFonts w:ascii="Times New Roman" w:hAnsi="Times New Roman" w:cs="Times New Roman"/>
              </w:rPr>
            </w:pPr>
            <w:r w:rsidRPr="00D5576E">
              <w:rPr>
                <w:rFonts w:ascii="Times New Roman" w:hAnsi="Times New Roman" w:cs="Times New Roman"/>
              </w:rPr>
              <w:t>Meets</w:t>
            </w:r>
          </w:p>
          <w:p w14:paraId="2B0091D6" w14:textId="03712409" w:rsidR="0076328B" w:rsidRPr="00D5576E" w:rsidRDefault="0076328B" w:rsidP="00EA2BC8">
            <w:pPr>
              <w:jc w:val="center"/>
              <w:rPr>
                <w:rFonts w:ascii="Times New Roman" w:hAnsi="Times New Roman" w:cs="Times New Roman"/>
              </w:rPr>
            </w:pPr>
            <w:r w:rsidRPr="00D5576E">
              <w:rPr>
                <w:rFonts w:ascii="Times New Roman" w:hAnsi="Times New Roman" w:cs="Times New Roman"/>
              </w:rPr>
              <w:t>No impact on next year’s obligation</w:t>
            </w:r>
          </w:p>
        </w:tc>
        <w:tc>
          <w:tcPr>
            <w:tcW w:w="1559" w:type="dxa"/>
          </w:tcPr>
          <w:p w14:paraId="436CFC3C" w14:textId="77777777" w:rsidR="008213C6" w:rsidRPr="00D5576E" w:rsidRDefault="008213C6" w:rsidP="008213C6">
            <w:pPr>
              <w:jc w:val="center"/>
              <w:rPr>
                <w:rFonts w:ascii="Times New Roman" w:hAnsi="Times New Roman" w:cs="Times New Roman"/>
              </w:rPr>
            </w:pPr>
            <w:r w:rsidRPr="00D5576E">
              <w:rPr>
                <w:rFonts w:ascii="Times New Roman" w:hAnsi="Times New Roman" w:cs="Times New Roman"/>
              </w:rPr>
              <w:t>&lt;10% shortfall</w:t>
            </w:r>
          </w:p>
          <w:p w14:paraId="2AF3CB0F" w14:textId="1C706965" w:rsidR="0076328B" w:rsidRPr="00D5576E" w:rsidRDefault="0076328B" w:rsidP="00EA2BC8">
            <w:pPr>
              <w:jc w:val="center"/>
              <w:rPr>
                <w:rFonts w:ascii="Times New Roman" w:hAnsi="Times New Roman" w:cs="Times New Roman"/>
              </w:rPr>
            </w:pPr>
            <w:r w:rsidRPr="00D5576E">
              <w:rPr>
                <w:rFonts w:ascii="Times New Roman" w:hAnsi="Times New Roman" w:cs="Times New Roman"/>
              </w:rPr>
              <w:t>Carry over</w:t>
            </w:r>
          </w:p>
          <w:p w14:paraId="4FE77D3B" w14:textId="1C4CD2DF" w:rsidR="0076328B" w:rsidRPr="00D5576E" w:rsidRDefault="0076328B" w:rsidP="00EA2BC8">
            <w:pPr>
              <w:jc w:val="center"/>
              <w:rPr>
                <w:rFonts w:ascii="Times New Roman" w:hAnsi="Times New Roman" w:cs="Times New Roman"/>
              </w:rPr>
            </w:pPr>
            <w:r w:rsidRPr="00D5576E">
              <w:rPr>
                <w:rFonts w:ascii="Times New Roman" w:hAnsi="Times New Roman" w:cs="Times New Roman"/>
              </w:rPr>
              <w:t>+500 to next year’s obligation</w:t>
            </w:r>
          </w:p>
        </w:tc>
        <w:tc>
          <w:tcPr>
            <w:tcW w:w="1560" w:type="dxa"/>
          </w:tcPr>
          <w:p w14:paraId="43E64EB5" w14:textId="3ABEACF9" w:rsidR="008213C6" w:rsidRPr="00D5576E" w:rsidRDefault="0076328B" w:rsidP="008213C6">
            <w:pPr>
              <w:jc w:val="center"/>
              <w:rPr>
                <w:rFonts w:ascii="Times New Roman" w:hAnsi="Times New Roman" w:cs="Times New Roman"/>
              </w:rPr>
            </w:pPr>
            <w:r w:rsidRPr="00D5576E">
              <w:rPr>
                <w:rFonts w:ascii="Times New Roman" w:hAnsi="Times New Roman" w:cs="Times New Roman"/>
              </w:rPr>
              <w:t>&gt;10% shortfall</w:t>
            </w:r>
          </w:p>
          <w:p w14:paraId="32F6DF82" w14:textId="7383B47D" w:rsidR="0076328B" w:rsidRPr="00D5576E" w:rsidRDefault="0076328B" w:rsidP="00EA2BC8">
            <w:pPr>
              <w:jc w:val="center"/>
              <w:rPr>
                <w:rFonts w:ascii="Times New Roman" w:hAnsi="Times New Roman" w:cs="Times New Roman"/>
              </w:rPr>
            </w:pPr>
            <w:r w:rsidRPr="00D5576E">
              <w:rPr>
                <w:rFonts w:ascii="Times New Roman" w:hAnsi="Times New Roman" w:cs="Times New Roman"/>
              </w:rPr>
              <w:t>+800 to next year’s obligation,</w:t>
            </w:r>
          </w:p>
          <w:p w14:paraId="7EBC2D00" w14:textId="63A2D18B" w:rsidR="0076328B" w:rsidRPr="00D5576E" w:rsidRDefault="0076328B" w:rsidP="00EA2BC8">
            <w:pPr>
              <w:jc w:val="center"/>
              <w:rPr>
                <w:rFonts w:ascii="Times New Roman" w:hAnsi="Times New Roman" w:cs="Times New Roman"/>
              </w:rPr>
            </w:pPr>
            <w:r w:rsidRPr="00D5576E">
              <w:rPr>
                <w:rFonts w:ascii="Times New Roman" w:hAnsi="Times New Roman" w:cs="Times New Roman"/>
              </w:rPr>
              <w:t>warning letter for first instance, financial penalty for subsequent breaches</w:t>
            </w:r>
          </w:p>
        </w:tc>
      </w:tr>
    </w:tbl>
    <w:p w14:paraId="7A465CDD" w14:textId="00D0F7DE" w:rsidR="00640825" w:rsidRPr="002657DF" w:rsidRDefault="00CB6ED7" w:rsidP="002657DF">
      <w:pPr>
        <w:pStyle w:val="ListParagraph"/>
        <w:numPr>
          <w:ilvl w:val="0"/>
          <w:numId w:val="17"/>
        </w:numPr>
        <w:rPr>
          <w:rFonts w:ascii="Times New Roman" w:hAnsi="Times New Roman" w:cs="Times New Roman"/>
          <w:b/>
          <w:i/>
          <w:sz w:val="24"/>
          <w:szCs w:val="24"/>
        </w:rPr>
      </w:pPr>
      <w:r>
        <w:rPr>
          <w:rFonts w:ascii="Times New Roman" w:hAnsi="Times New Roman" w:cs="Times New Roman"/>
          <w:b/>
          <w:i/>
          <w:sz w:val="24"/>
          <w:szCs w:val="24"/>
        </w:rPr>
        <w:lastRenderedPageBreak/>
        <w:t>Contribution to the FIFCA</w:t>
      </w:r>
      <w:r w:rsidR="002B3ACC" w:rsidRPr="002657DF">
        <w:rPr>
          <w:rFonts w:ascii="Times New Roman" w:hAnsi="Times New Roman" w:cs="Times New Roman"/>
          <w:b/>
          <w:i/>
          <w:sz w:val="24"/>
          <w:szCs w:val="24"/>
        </w:rPr>
        <w:t xml:space="preserve"> </w:t>
      </w:r>
      <w:r w:rsidR="0026205E" w:rsidRPr="002657DF">
        <w:rPr>
          <w:rFonts w:ascii="Times New Roman" w:hAnsi="Times New Roman" w:cs="Times New Roman"/>
          <w:b/>
          <w:i/>
          <w:sz w:val="24"/>
          <w:szCs w:val="24"/>
        </w:rPr>
        <w:t>c</w:t>
      </w:r>
      <w:r w:rsidR="002B3ACC" w:rsidRPr="002657DF">
        <w:rPr>
          <w:rFonts w:ascii="Times New Roman" w:hAnsi="Times New Roman" w:cs="Times New Roman"/>
          <w:b/>
          <w:i/>
          <w:sz w:val="24"/>
          <w:szCs w:val="24"/>
        </w:rPr>
        <w:t xml:space="preserve">ommunity </w:t>
      </w:r>
      <w:r>
        <w:rPr>
          <w:rFonts w:ascii="Times New Roman" w:hAnsi="Times New Roman" w:cs="Times New Roman"/>
          <w:b/>
          <w:i/>
          <w:sz w:val="24"/>
          <w:szCs w:val="24"/>
        </w:rPr>
        <w:t>fund or equivalent</w:t>
      </w:r>
      <w:r w:rsidR="002B3ACC" w:rsidRPr="002657DF">
        <w:rPr>
          <w:rFonts w:ascii="Times New Roman" w:hAnsi="Times New Roman" w:cs="Times New Roman"/>
          <w:b/>
          <w:i/>
          <w:sz w:val="24"/>
          <w:szCs w:val="24"/>
        </w:rPr>
        <w:t xml:space="preserve"> </w:t>
      </w:r>
    </w:p>
    <w:p w14:paraId="42A5BB10" w14:textId="334EDB1E" w:rsidR="0088679A" w:rsidRPr="0088679A" w:rsidRDefault="0088679A" w:rsidP="00386460">
      <w:pPr>
        <w:rPr>
          <w:rFonts w:ascii="Times New Roman" w:hAnsi="Times New Roman" w:cs="Times New Roman"/>
          <w:sz w:val="24"/>
          <w:szCs w:val="24"/>
          <w:u w:val="single"/>
        </w:rPr>
      </w:pPr>
      <w:r w:rsidRPr="0088679A">
        <w:rPr>
          <w:rFonts w:ascii="Times New Roman" w:hAnsi="Times New Roman" w:cs="Times New Roman"/>
          <w:sz w:val="24"/>
          <w:szCs w:val="24"/>
          <w:u w:val="single"/>
        </w:rPr>
        <w:t>Goal:</w:t>
      </w:r>
      <w:r w:rsidRPr="00D67291">
        <w:rPr>
          <w:rFonts w:ascii="Times New Roman" w:hAnsi="Times New Roman" w:cs="Times New Roman"/>
          <w:sz w:val="24"/>
          <w:szCs w:val="24"/>
        </w:rPr>
        <w:t xml:space="preserve"> Caring for our </w:t>
      </w:r>
      <w:r w:rsidR="005F150A">
        <w:rPr>
          <w:rFonts w:ascii="Times New Roman" w:hAnsi="Times New Roman" w:cs="Times New Roman"/>
          <w:sz w:val="24"/>
          <w:szCs w:val="24"/>
        </w:rPr>
        <w:t>c</w:t>
      </w:r>
      <w:r w:rsidRPr="00D67291">
        <w:rPr>
          <w:rFonts w:ascii="Times New Roman" w:hAnsi="Times New Roman" w:cs="Times New Roman"/>
          <w:sz w:val="24"/>
          <w:szCs w:val="24"/>
        </w:rPr>
        <w:t>ommunity by creating business, employment and skills opportunities, coupled with our commitment to the F</w:t>
      </w:r>
      <w:r w:rsidR="002B52EC" w:rsidRPr="00D67291">
        <w:rPr>
          <w:rFonts w:ascii="Times New Roman" w:hAnsi="Times New Roman" w:cs="Times New Roman"/>
          <w:sz w:val="24"/>
          <w:szCs w:val="24"/>
        </w:rPr>
        <w:t xml:space="preserve">alkland </w:t>
      </w:r>
      <w:r w:rsidRPr="00D67291">
        <w:rPr>
          <w:rFonts w:ascii="Times New Roman" w:hAnsi="Times New Roman" w:cs="Times New Roman"/>
          <w:sz w:val="24"/>
          <w:szCs w:val="24"/>
        </w:rPr>
        <w:t>I</w:t>
      </w:r>
      <w:r w:rsidR="002B52EC" w:rsidRPr="00D67291">
        <w:rPr>
          <w:rFonts w:ascii="Times New Roman" w:hAnsi="Times New Roman" w:cs="Times New Roman"/>
          <w:sz w:val="24"/>
          <w:szCs w:val="24"/>
        </w:rPr>
        <w:t>slands</w:t>
      </w:r>
      <w:r w:rsidRPr="00D67291">
        <w:rPr>
          <w:rFonts w:ascii="Times New Roman" w:hAnsi="Times New Roman" w:cs="Times New Roman"/>
          <w:sz w:val="24"/>
          <w:szCs w:val="24"/>
        </w:rPr>
        <w:t xml:space="preserve"> community, ensure the sector delivers a positive social contribution</w:t>
      </w:r>
      <w:r w:rsidR="00B82614">
        <w:rPr>
          <w:rFonts w:ascii="Times New Roman" w:hAnsi="Times New Roman" w:cs="Times New Roman"/>
          <w:sz w:val="24"/>
          <w:szCs w:val="24"/>
        </w:rPr>
        <w:t>.</w:t>
      </w:r>
    </w:p>
    <w:p w14:paraId="6497EC9A" w14:textId="65565AEA" w:rsidR="0088679A" w:rsidRPr="0088679A" w:rsidRDefault="0088679A" w:rsidP="0088679A">
      <w:pPr>
        <w:rPr>
          <w:rFonts w:ascii="Times New Roman" w:hAnsi="Times New Roman" w:cs="Times New Roman"/>
          <w:sz w:val="24"/>
          <w:szCs w:val="24"/>
          <w:u w:val="single"/>
        </w:rPr>
      </w:pPr>
      <w:r w:rsidRPr="0088679A">
        <w:rPr>
          <w:rFonts w:ascii="Times New Roman" w:hAnsi="Times New Roman" w:cs="Times New Roman"/>
          <w:sz w:val="24"/>
          <w:szCs w:val="24"/>
          <w:u w:val="single"/>
        </w:rPr>
        <w:t>Target:</w:t>
      </w:r>
      <w:r w:rsidRPr="00D67291">
        <w:rPr>
          <w:rFonts w:ascii="Times New Roman" w:hAnsi="Times New Roman" w:cs="Times New Roman"/>
          <w:sz w:val="24"/>
          <w:szCs w:val="24"/>
        </w:rPr>
        <w:t xml:space="preserve"> </w:t>
      </w:r>
      <w:r w:rsidR="00B82614">
        <w:rPr>
          <w:rFonts w:ascii="Times New Roman" w:hAnsi="Times New Roman" w:cs="Times New Roman"/>
          <w:sz w:val="24"/>
          <w:szCs w:val="24"/>
        </w:rPr>
        <w:t>Specified c</w:t>
      </w:r>
      <w:r w:rsidRPr="00D67291">
        <w:rPr>
          <w:rFonts w:ascii="Times New Roman" w:hAnsi="Times New Roman" w:cs="Times New Roman"/>
          <w:sz w:val="24"/>
          <w:szCs w:val="24"/>
        </w:rPr>
        <w:t>ontribution to the FIFCA Community Fund or equivalent</w:t>
      </w:r>
      <w:r w:rsidR="00B82614">
        <w:rPr>
          <w:rFonts w:ascii="Times New Roman" w:hAnsi="Times New Roman" w:cs="Times New Roman"/>
          <w:sz w:val="24"/>
          <w:szCs w:val="24"/>
        </w:rPr>
        <w:t>.</w:t>
      </w:r>
    </w:p>
    <w:p w14:paraId="79581E4A" w14:textId="6481DD47" w:rsidR="006E0C67" w:rsidRDefault="0088679A" w:rsidP="00640825">
      <w:pPr>
        <w:rPr>
          <w:rFonts w:ascii="Times New Roman" w:hAnsi="Times New Roman" w:cs="Times New Roman"/>
          <w:sz w:val="24"/>
          <w:szCs w:val="24"/>
        </w:rPr>
      </w:pPr>
      <w:r>
        <w:rPr>
          <w:rFonts w:ascii="Times New Roman" w:hAnsi="Times New Roman" w:cs="Times New Roman"/>
          <w:sz w:val="24"/>
          <w:szCs w:val="24"/>
          <w:u w:val="single"/>
        </w:rPr>
        <w:t>Annual milestone</w:t>
      </w:r>
      <w:r w:rsidR="00640825" w:rsidRPr="00BB4D2F">
        <w:rPr>
          <w:rFonts w:ascii="Times New Roman" w:hAnsi="Times New Roman" w:cs="Times New Roman"/>
          <w:sz w:val="24"/>
          <w:szCs w:val="24"/>
          <w:u w:val="single"/>
        </w:rPr>
        <w:t>:</w:t>
      </w:r>
      <w:r w:rsidR="00640825" w:rsidRPr="00640825">
        <w:rPr>
          <w:rFonts w:ascii="Times New Roman" w:hAnsi="Times New Roman" w:cs="Times New Roman"/>
          <w:sz w:val="24"/>
          <w:szCs w:val="24"/>
        </w:rPr>
        <w:t xml:space="preserve"> </w:t>
      </w:r>
      <w:r w:rsidR="00CB6ED7">
        <w:rPr>
          <w:rFonts w:ascii="Times New Roman" w:hAnsi="Times New Roman" w:cs="Times New Roman"/>
          <w:sz w:val="24"/>
          <w:szCs w:val="24"/>
        </w:rPr>
        <w:t>A</w:t>
      </w:r>
      <w:r w:rsidR="00640825" w:rsidRPr="00640825">
        <w:rPr>
          <w:rFonts w:ascii="Times New Roman" w:hAnsi="Times New Roman" w:cs="Times New Roman"/>
          <w:sz w:val="24"/>
          <w:szCs w:val="24"/>
        </w:rPr>
        <w:t xml:space="preserve"> </w:t>
      </w:r>
      <w:r w:rsidR="00640825">
        <w:rPr>
          <w:rFonts w:ascii="Times New Roman" w:hAnsi="Times New Roman" w:cs="Times New Roman"/>
          <w:sz w:val="24"/>
          <w:szCs w:val="24"/>
        </w:rPr>
        <w:t xml:space="preserve">contribution </w:t>
      </w:r>
      <w:r w:rsidR="00CB6ED7">
        <w:rPr>
          <w:rFonts w:ascii="Times New Roman" w:hAnsi="Times New Roman" w:cs="Times New Roman"/>
          <w:sz w:val="24"/>
          <w:szCs w:val="24"/>
        </w:rPr>
        <w:t>to the FIFCA Community Fund or equivalent will b</w:t>
      </w:r>
      <w:r w:rsidR="006E0C67">
        <w:rPr>
          <w:rFonts w:ascii="Times New Roman" w:hAnsi="Times New Roman" w:cs="Times New Roman"/>
          <w:sz w:val="24"/>
          <w:szCs w:val="24"/>
        </w:rPr>
        <w:t>e</w:t>
      </w:r>
      <w:r w:rsidR="00CB6ED7">
        <w:rPr>
          <w:rFonts w:ascii="Times New Roman" w:hAnsi="Times New Roman" w:cs="Times New Roman"/>
          <w:sz w:val="24"/>
          <w:szCs w:val="24"/>
        </w:rPr>
        <w:t xml:space="preserve"> required for all ITQ B eligible companies. </w:t>
      </w:r>
      <w:r w:rsidR="006E0C67">
        <w:rPr>
          <w:rFonts w:ascii="Times New Roman" w:hAnsi="Times New Roman" w:cs="Times New Roman"/>
          <w:sz w:val="24"/>
          <w:szCs w:val="24"/>
        </w:rPr>
        <w:t xml:space="preserve">The </w:t>
      </w:r>
      <w:r w:rsidR="00D42B39">
        <w:rPr>
          <w:rFonts w:ascii="Times New Roman" w:hAnsi="Times New Roman" w:cs="Times New Roman"/>
          <w:sz w:val="24"/>
          <w:szCs w:val="24"/>
        </w:rPr>
        <w:t xml:space="preserve">minimum </w:t>
      </w:r>
      <w:r w:rsidR="006E0C67">
        <w:rPr>
          <w:rFonts w:ascii="Times New Roman" w:hAnsi="Times New Roman" w:cs="Times New Roman"/>
          <w:sz w:val="24"/>
          <w:szCs w:val="24"/>
        </w:rPr>
        <w:t xml:space="preserve">annual contribution </w:t>
      </w:r>
      <w:r w:rsidR="00D87373">
        <w:rPr>
          <w:rFonts w:ascii="Times New Roman" w:hAnsi="Times New Roman" w:cs="Times New Roman"/>
          <w:sz w:val="24"/>
          <w:szCs w:val="24"/>
        </w:rPr>
        <w:t xml:space="preserve">required </w:t>
      </w:r>
      <w:r w:rsidR="006E0C67">
        <w:rPr>
          <w:rFonts w:ascii="Times New Roman" w:hAnsi="Times New Roman" w:cs="Times New Roman"/>
          <w:sz w:val="24"/>
          <w:szCs w:val="24"/>
        </w:rPr>
        <w:t>of all ITQ B eligible companies to the FIFCA Community Fund will amount to £50,000</w:t>
      </w:r>
      <w:r w:rsidR="00D42B39">
        <w:rPr>
          <w:rFonts w:ascii="Times New Roman" w:hAnsi="Times New Roman" w:cs="Times New Roman"/>
          <w:sz w:val="24"/>
          <w:szCs w:val="24"/>
        </w:rPr>
        <w:t xml:space="preserve"> in total across all companies, for each of the six years of the action plan</w:t>
      </w:r>
      <w:r w:rsidR="006E0C67">
        <w:rPr>
          <w:rFonts w:ascii="Times New Roman" w:hAnsi="Times New Roman" w:cs="Times New Roman"/>
          <w:sz w:val="24"/>
          <w:szCs w:val="24"/>
        </w:rPr>
        <w:t>. Individual contributions will be based on each company’s share of ITQ B fisheries</w:t>
      </w:r>
      <w:r w:rsidR="009E52E6">
        <w:rPr>
          <w:rFonts w:ascii="Times New Roman" w:hAnsi="Times New Roman" w:cs="Times New Roman"/>
          <w:sz w:val="24"/>
          <w:szCs w:val="24"/>
        </w:rPr>
        <w:t xml:space="preserve">, </w:t>
      </w:r>
      <w:r w:rsidR="006E0C67">
        <w:rPr>
          <w:rFonts w:ascii="Times New Roman" w:hAnsi="Times New Roman" w:cs="Times New Roman"/>
          <w:sz w:val="24"/>
          <w:szCs w:val="24"/>
        </w:rPr>
        <w:t xml:space="preserve">as measured by </w:t>
      </w:r>
      <w:r w:rsidR="009E52E6">
        <w:rPr>
          <w:rFonts w:ascii="Times New Roman" w:hAnsi="Times New Roman" w:cs="Times New Roman"/>
          <w:sz w:val="24"/>
          <w:szCs w:val="24"/>
        </w:rPr>
        <w:t>a formula developed by FIFCA in consultation with their members.</w:t>
      </w:r>
      <w:r w:rsidR="00B82614">
        <w:rPr>
          <w:rFonts w:ascii="Times New Roman" w:hAnsi="Times New Roman" w:cs="Times New Roman"/>
          <w:sz w:val="24"/>
          <w:szCs w:val="24"/>
        </w:rPr>
        <w:t xml:space="preserve"> </w:t>
      </w:r>
    </w:p>
    <w:p w14:paraId="4AFC05E3" w14:textId="1BE7CEF6" w:rsidR="00640825" w:rsidRDefault="006E0C67" w:rsidP="00640825">
      <w:pPr>
        <w:rPr>
          <w:rFonts w:ascii="Times New Roman" w:hAnsi="Times New Roman" w:cs="Times New Roman"/>
          <w:sz w:val="24"/>
          <w:szCs w:val="24"/>
        </w:rPr>
      </w:pPr>
      <w:r>
        <w:rPr>
          <w:rFonts w:ascii="Times New Roman" w:hAnsi="Times New Roman" w:cs="Times New Roman"/>
          <w:sz w:val="24"/>
          <w:szCs w:val="24"/>
        </w:rPr>
        <w:t>Alternatively, a company may make a financial contribution</w:t>
      </w:r>
      <w:r w:rsidR="0061203F">
        <w:rPr>
          <w:rFonts w:ascii="Times New Roman" w:hAnsi="Times New Roman" w:cs="Times New Roman"/>
          <w:sz w:val="24"/>
          <w:szCs w:val="24"/>
        </w:rPr>
        <w:t xml:space="preserve"> to a different community organisation or activity</w:t>
      </w:r>
      <w:r>
        <w:rPr>
          <w:rFonts w:ascii="Times New Roman" w:hAnsi="Times New Roman" w:cs="Times New Roman"/>
          <w:sz w:val="24"/>
          <w:szCs w:val="24"/>
        </w:rPr>
        <w:t>, of at least the same value as the</w:t>
      </w:r>
      <w:r w:rsidR="0061203F">
        <w:rPr>
          <w:rFonts w:ascii="Times New Roman" w:hAnsi="Times New Roman" w:cs="Times New Roman"/>
          <w:sz w:val="24"/>
          <w:szCs w:val="24"/>
        </w:rPr>
        <w:t xml:space="preserve"> amount they would have been required to contribute to the FIFCA Community Fund</w:t>
      </w:r>
      <w:r w:rsidR="00D87373">
        <w:rPr>
          <w:rFonts w:ascii="Times New Roman" w:hAnsi="Times New Roman" w:cs="Times New Roman"/>
          <w:sz w:val="24"/>
          <w:szCs w:val="24"/>
        </w:rPr>
        <w:t xml:space="preserve"> and</w:t>
      </w:r>
      <w:r w:rsidR="009D6B88">
        <w:rPr>
          <w:rFonts w:ascii="Times New Roman" w:hAnsi="Times New Roman" w:cs="Times New Roman"/>
          <w:sz w:val="24"/>
          <w:szCs w:val="24"/>
        </w:rPr>
        <w:t xml:space="preserve"> this</w:t>
      </w:r>
      <w:r w:rsidR="00D87373">
        <w:rPr>
          <w:rFonts w:ascii="Times New Roman" w:hAnsi="Times New Roman" w:cs="Times New Roman"/>
          <w:sz w:val="24"/>
          <w:szCs w:val="24"/>
        </w:rPr>
        <w:t xml:space="preserve"> will count towards the</w:t>
      </w:r>
      <w:r w:rsidR="008872B6">
        <w:rPr>
          <w:rFonts w:ascii="Times New Roman" w:hAnsi="Times New Roman" w:cs="Times New Roman"/>
          <w:sz w:val="24"/>
          <w:szCs w:val="24"/>
        </w:rPr>
        <w:t>ir contribution to the</w:t>
      </w:r>
      <w:r w:rsidR="00D87373">
        <w:rPr>
          <w:rFonts w:ascii="Times New Roman" w:hAnsi="Times New Roman" w:cs="Times New Roman"/>
          <w:sz w:val="24"/>
          <w:szCs w:val="24"/>
        </w:rPr>
        <w:t xml:space="preserve"> £50,000 annual </w:t>
      </w:r>
      <w:r w:rsidR="009D6B88">
        <w:rPr>
          <w:rFonts w:ascii="Times New Roman" w:hAnsi="Times New Roman" w:cs="Times New Roman"/>
          <w:sz w:val="24"/>
          <w:szCs w:val="24"/>
        </w:rPr>
        <w:t>requirement</w:t>
      </w:r>
      <w:r w:rsidR="0061203F">
        <w:rPr>
          <w:rFonts w:ascii="Times New Roman" w:hAnsi="Times New Roman" w:cs="Times New Roman"/>
          <w:sz w:val="24"/>
          <w:szCs w:val="24"/>
        </w:rPr>
        <w:t xml:space="preserve">. </w:t>
      </w:r>
    </w:p>
    <w:p w14:paraId="1DC9DAE5" w14:textId="60C0732B" w:rsidR="002657DF" w:rsidRDefault="00640825" w:rsidP="00640825">
      <w:pPr>
        <w:rPr>
          <w:rFonts w:ascii="Times New Roman" w:hAnsi="Times New Roman" w:cs="Times New Roman"/>
          <w:sz w:val="24"/>
          <w:szCs w:val="24"/>
        </w:rPr>
      </w:pPr>
      <w:r w:rsidRPr="00640825">
        <w:rPr>
          <w:rFonts w:ascii="Times New Roman" w:hAnsi="Times New Roman" w:cs="Times New Roman"/>
          <w:sz w:val="24"/>
          <w:szCs w:val="24"/>
          <w:u w:val="single"/>
        </w:rPr>
        <w:t>For the annual review</w:t>
      </w:r>
      <w:r w:rsidR="007973B3">
        <w:rPr>
          <w:rFonts w:ascii="Times New Roman" w:hAnsi="Times New Roman" w:cs="Times New Roman"/>
          <w:sz w:val="24"/>
          <w:szCs w:val="24"/>
          <w:u w:val="single"/>
        </w:rPr>
        <w:t>:</w:t>
      </w:r>
      <w:r>
        <w:rPr>
          <w:rFonts w:ascii="Times New Roman" w:hAnsi="Times New Roman" w:cs="Times New Roman"/>
          <w:sz w:val="24"/>
          <w:szCs w:val="24"/>
        </w:rPr>
        <w:t xml:space="preserve"> </w:t>
      </w:r>
      <w:r w:rsidR="00CA2915">
        <w:rPr>
          <w:rFonts w:ascii="Times New Roman" w:hAnsi="Times New Roman" w:cs="Times New Roman"/>
          <w:sz w:val="24"/>
          <w:szCs w:val="24"/>
        </w:rPr>
        <w:t>T</w:t>
      </w:r>
      <w:r w:rsidR="0061203F">
        <w:rPr>
          <w:rFonts w:ascii="Times New Roman" w:hAnsi="Times New Roman" w:cs="Times New Roman"/>
          <w:sz w:val="24"/>
          <w:szCs w:val="24"/>
        </w:rPr>
        <w:t>he company will need to set out how much they have contributed to the FIFCA Community Fund (confirmed by FIFCA) or provide short narrative setting out how they have made a financial contribution of at least the same value.</w:t>
      </w:r>
      <w:r w:rsidR="00B82614">
        <w:rPr>
          <w:rFonts w:ascii="Times New Roman" w:hAnsi="Times New Roman" w:cs="Times New Roman"/>
          <w:sz w:val="24"/>
          <w:szCs w:val="24"/>
        </w:rPr>
        <w:t xml:space="preserve"> </w:t>
      </w:r>
      <w:r w:rsidR="0061203F">
        <w:rPr>
          <w:rFonts w:ascii="Times New Roman" w:hAnsi="Times New Roman" w:cs="Times New Roman"/>
          <w:sz w:val="24"/>
          <w:szCs w:val="24"/>
        </w:rPr>
        <w:t xml:space="preserve">Activities must be of benefit to the wider community, rather than to the company or its workforce. </w:t>
      </w:r>
    </w:p>
    <w:p w14:paraId="43986358" w14:textId="6CB4D5D1" w:rsidR="00640825" w:rsidRPr="00640825" w:rsidRDefault="00B82614" w:rsidP="00640825">
      <w:pPr>
        <w:rPr>
          <w:rFonts w:ascii="Times New Roman" w:hAnsi="Times New Roman" w:cs="Times New Roman"/>
          <w:sz w:val="24"/>
          <w:szCs w:val="24"/>
        </w:rPr>
      </w:pPr>
      <w:r>
        <w:rPr>
          <w:rFonts w:ascii="Times New Roman" w:hAnsi="Times New Roman" w:cs="Times New Roman"/>
          <w:sz w:val="24"/>
          <w:szCs w:val="24"/>
        </w:rPr>
        <w:t xml:space="preserve">  </w:t>
      </w:r>
    </w:p>
    <w:p w14:paraId="41416803" w14:textId="44F70842" w:rsidR="00C13316" w:rsidRPr="002657DF" w:rsidRDefault="00C13316" w:rsidP="002657DF">
      <w:pPr>
        <w:pStyle w:val="ListParagraph"/>
        <w:numPr>
          <w:ilvl w:val="0"/>
          <w:numId w:val="17"/>
        </w:numPr>
        <w:rPr>
          <w:rFonts w:ascii="Times New Roman" w:hAnsi="Times New Roman" w:cs="Times New Roman"/>
          <w:b/>
          <w:i/>
          <w:sz w:val="24"/>
          <w:szCs w:val="24"/>
        </w:rPr>
      </w:pPr>
      <w:r w:rsidRPr="002657DF">
        <w:rPr>
          <w:rFonts w:ascii="Times New Roman" w:hAnsi="Times New Roman" w:cs="Times New Roman"/>
          <w:b/>
          <w:i/>
          <w:sz w:val="24"/>
          <w:szCs w:val="24"/>
        </w:rPr>
        <w:t>Local content - Submission of an annual report summarising the value the company contributes to the local economy</w:t>
      </w:r>
    </w:p>
    <w:p w14:paraId="716FA1AE" w14:textId="2A2C1D05" w:rsidR="00E93636" w:rsidRPr="00E93636" w:rsidRDefault="00E93636" w:rsidP="00386460">
      <w:pPr>
        <w:rPr>
          <w:rFonts w:ascii="Times New Roman" w:hAnsi="Times New Roman" w:cs="Times New Roman"/>
          <w:sz w:val="24"/>
          <w:szCs w:val="24"/>
          <w:u w:val="single"/>
        </w:rPr>
      </w:pPr>
      <w:r w:rsidRPr="00E93636">
        <w:rPr>
          <w:rFonts w:ascii="Times New Roman" w:hAnsi="Times New Roman" w:cs="Times New Roman"/>
          <w:sz w:val="24"/>
          <w:szCs w:val="24"/>
          <w:u w:val="single"/>
        </w:rPr>
        <w:t>Goal:</w:t>
      </w:r>
      <w:r w:rsidRPr="00D67291">
        <w:rPr>
          <w:rFonts w:ascii="Times New Roman" w:hAnsi="Times New Roman" w:cs="Times New Roman"/>
          <w:sz w:val="24"/>
          <w:szCs w:val="24"/>
        </w:rPr>
        <w:t xml:space="preserve"> Caring for our Community by earning and retaining our </w:t>
      </w:r>
      <w:r w:rsidR="00B82614">
        <w:rPr>
          <w:rFonts w:ascii="Times New Roman" w:hAnsi="Times New Roman" w:cs="Times New Roman"/>
          <w:sz w:val="24"/>
          <w:szCs w:val="24"/>
        </w:rPr>
        <w:t>s</w:t>
      </w:r>
      <w:r w:rsidRPr="00D67291">
        <w:rPr>
          <w:rFonts w:ascii="Times New Roman" w:hAnsi="Times New Roman" w:cs="Times New Roman"/>
          <w:sz w:val="24"/>
          <w:szCs w:val="24"/>
        </w:rPr>
        <w:t xml:space="preserve">ocial </w:t>
      </w:r>
      <w:r w:rsidR="00B82614">
        <w:rPr>
          <w:rFonts w:ascii="Times New Roman" w:hAnsi="Times New Roman" w:cs="Times New Roman"/>
          <w:sz w:val="24"/>
          <w:szCs w:val="24"/>
        </w:rPr>
        <w:t>l</w:t>
      </w:r>
      <w:r w:rsidRPr="00D67291">
        <w:rPr>
          <w:rFonts w:ascii="Times New Roman" w:hAnsi="Times New Roman" w:cs="Times New Roman"/>
          <w:sz w:val="24"/>
          <w:szCs w:val="24"/>
        </w:rPr>
        <w:t>icence to operate through respect and support of our F</w:t>
      </w:r>
      <w:r w:rsidR="00B82614">
        <w:rPr>
          <w:rFonts w:ascii="Times New Roman" w:hAnsi="Times New Roman" w:cs="Times New Roman"/>
          <w:sz w:val="24"/>
          <w:szCs w:val="24"/>
        </w:rPr>
        <w:t xml:space="preserve">alkland </w:t>
      </w:r>
      <w:r w:rsidRPr="00D67291">
        <w:rPr>
          <w:rFonts w:ascii="Times New Roman" w:hAnsi="Times New Roman" w:cs="Times New Roman"/>
          <w:sz w:val="24"/>
          <w:szCs w:val="24"/>
        </w:rPr>
        <w:t>I</w:t>
      </w:r>
      <w:r w:rsidR="00B82614">
        <w:rPr>
          <w:rFonts w:ascii="Times New Roman" w:hAnsi="Times New Roman" w:cs="Times New Roman"/>
          <w:sz w:val="24"/>
          <w:szCs w:val="24"/>
        </w:rPr>
        <w:t>slands</w:t>
      </w:r>
      <w:r w:rsidRPr="00D67291">
        <w:rPr>
          <w:rFonts w:ascii="Times New Roman" w:hAnsi="Times New Roman" w:cs="Times New Roman"/>
          <w:sz w:val="24"/>
          <w:szCs w:val="24"/>
        </w:rPr>
        <w:t xml:space="preserve"> communities. Where possible, we will create local business, employment and skills development opportunities.</w:t>
      </w:r>
    </w:p>
    <w:p w14:paraId="5BFCA2C6" w14:textId="4D60C1A7" w:rsidR="00E93636" w:rsidRPr="00E93636" w:rsidRDefault="00E93636" w:rsidP="00E93636">
      <w:pPr>
        <w:rPr>
          <w:rFonts w:ascii="Times New Roman" w:hAnsi="Times New Roman" w:cs="Times New Roman"/>
          <w:sz w:val="24"/>
          <w:szCs w:val="24"/>
          <w:u w:val="single"/>
        </w:rPr>
      </w:pPr>
      <w:r w:rsidRPr="00E93636">
        <w:rPr>
          <w:rFonts w:ascii="Times New Roman" w:hAnsi="Times New Roman" w:cs="Times New Roman"/>
          <w:sz w:val="24"/>
          <w:szCs w:val="24"/>
          <w:u w:val="single"/>
        </w:rPr>
        <w:t>Target:</w:t>
      </w:r>
      <w:r w:rsidRPr="00D67291">
        <w:rPr>
          <w:rFonts w:ascii="Times New Roman" w:hAnsi="Times New Roman" w:cs="Times New Roman"/>
          <w:sz w:val="24"/>
          <w:szCs w:val="24"/>
        </w:rPr>
        <w:t xml:space="preserve"> Build an accurate understanding of the extent that the company contributes to the local economy</w:t>
      </w:r>
      <w:r w:rsidR="00BB4D2F">
        <w:rPr>
          <w:rFonts w:ascii="Times New Roman" w:hAnsi="Times New Roman" w:cs="Times New Roman"/>
          <w:sz w:val="24"/>
          <w:szCs w:val="24"/>
        </w:rPr>
        <w:t>.</w:t>
      </w:r>
    </w:p>
    <w:p w14:paraId="6B7D357C" w14:textId="278067D3" w:rsidR="00445F0B" w:rsidRDefault="00E93636" w:rsidP="00445F0B">
      <w:pPr>
        <w:rPr>
          <w:rFonts w:ascii="Times New Roman" w:hAnsi="Times New Roman" w:cs="Times New Roman"/>
          <w:sz w:val="24"/>
          <w:szCs w:val="24"/>
        </w:rPr>
      </w:pPr>
      <w:r>
        <w:rPr>
          <w:rFonts w:ascii="Times New Roman" w:hAnsi="Times New Roman" w:cs="Times New Roman"/>
          <w:sz w:val="24"/>
          <w:szCs w:val="24"/>
          <w:u w:val="single"/>
        </w:rPr>
        <w:t>Annual milestone</w:t>
      </w:r>
      <w:r w:rsidR="00445F0B" w:rsidRPr="00445F0B">
        <w:rPr>
          <w:rFonts w:ascii="Times New Roman" w:hAnsi="Times New Roman" w:cs="Times New Roman"/>
          <w:sz w:val="24"/>
          <w:szCs w:val="24"/>
          <w:u w:val="single"/>
        </w:rPr>
        <w:t>:</w:t>
      </w:r>
      <w:r w:rsidR="00445F0B">
        <w:rPr>
          <w:rFonts w:ascii="Times New Roman" w:hAnsi="Times New Roman" w:cs="Times New Roman"/>
          <w:sz w:val="24"/>
          <w:szCs w:val="24"/>
        </w:rPr>
        <w:t xml:space="preserve"> </w:t>
      </w:r>
      <w:r w:rsidR="00CA2915">
        <w:rPr>
          <w:rFonts w:ascii="Times New Roman" w:hAnsi="Times New Roman" w:cs="Times New Roman"/>
          <w:sz w:val="24"/>
          <w:szCs w:val="24"/>
        </w:rPr>
        <w:t>T</w:t>
      </w:r>
      <w:r w:rsidR="00445F0B">
        <w:rPr>
          <w:rFonts w:ascii="Times New Roman" w:hAnsi="Times New Roman" w:cs="Times New Roman"/>
          <w:sz w:val="24"/>
          <w:szCs w:val="24"/>
        </w:rPr>
        <w:t xml:space="preserve">he requirement is for each company to produce a short annual report </w:t>
      </w:r>
      <w:r w:rsidR="00944F95">
        <w:rPr>
          <w:rFonts w:ascii="Times New Roman" w:hAnsi="Times New Roman" w:cs="Times New Roman"/>
          <w:sz w:val="24"/>
          <w:szCs w:val="24"/>
        </w:rPr>
        <w:t xml:space="preserve">summarising the value the company contributes to the local economy on an annual basis. </w:t>
      </w:r>
      <w:r w:rsidR="00E523D9">
        <w:rPr>
          <w:rFonts w:ascii="Times New Roman" w:hAnsi="Times New Roman" w:cs="Times New Roman"/>
          <w:sz w:val="24"/>
          <w:szCs w:val="24"/>
        </w:rPr>
        <w:t xml:space="preserve">A </w:t>
      </w:r>
      <w:r w:rsidR="004070A0">
        <w:rPr>
          <w:rFonts w:ascii="Times New Roman" w:hAnsi="Times New Roman" w:cs="Times New Roman"/>
          <w:sz w:val="24"/>
          <w:szCs w:val="24"/>
        </w:rPr>
        <w:t xml:space="preserve">standard </w:t>
      </w:r>
      <w:r w:rsidR="00E523D9">
        <w:rPr>
          <w:rFonts w:ascii="Times New Roman" w:hAnsi="Times New Roman" w:cs="Times New Roman"/>
          <w:sz w:val="24"/>
          <w:szCs w:val="24"/>
        </w:rPr>
        <w:t xml:space="preserve">template </w:t>
      </w:r>
      <w:r w:rsidR="004070A0">
        <w:rPr>
          <w:rFonts w:ascii="Times New Roman" w:hAnsi="Times New Roman" w:cs="Times New Roman"/>
          <w:sz w:val="24"/>
          <w:szCs w:val="24"/>
        </w:rPr>
        <w:t xml:space="preserve">has been produced, and is </w:t>
      </w:r>
      <w:r w:rsidR="00BA55B3">
        <w:rPr>
          <w:rFonts w:ascii="Times New Roman" w:hAnsi="Times New Roman" w:cs="Times New Roman"/>
          <w:sz w:val="24"/>
          <w:szCs w:val="24"/>
        </w:rPr>
        <w:t>included in the template action plan in the annex to this guidance</w:t>
      </w:r>
      <w:r w:rsidR="004070A0">
        <w:rPr>
          <w:rFonts w:ascii="Times New Roman" w:hAnsi="Times New Roman" w:cs="Times New Roman"/>
          <w:sz w:val="24"/>
          <w:szCs w:val="24"/>
        </w:rPr>
        <w:t xml:space="preserve">, </w:t>
      </w:r>
      <w:r w:rsidR="00E523D9">
        <w:rPr>
          <w:rFonts w:ascii="Times New Roman" w:hAnsi="Times New Roman" w:cs="Times New Roman"/>
          <w:sz w:val="24"/>
          <w:szCs w:val="24"/>
        </w:rPr>
        <w:t>to simplify the production of reports and to provide consistent data.</w:t>
      </w:r>
      <w:r w:rsidR="00944F95">
        <w:rPr>
          <w:rFonts w:ascii="Times New Roman" w:hAnsi="Times New Roman" w:cs="Times New Roman"/>
          <w:sz w:val="24"/>
          <w:szCs w:val="24"/>
        </w:rPr>
        <w:t xml:space="preserve"> It is recognised that in some cases, the v</w:t>
      </w:r>
      <w:r w:rsidR="004070A0">
        <w:rPr>
          <w:rFonts w:ascii="Times New Roman" w:hAnsi="Times New Roman" w:cs="Times New Roman"/>
          <w:sz w:val="24"/>
          <w:szCs w:val="24"/>
        </w:rPr>
        <w:t>a</w:t>
      </w:r>
      <w:r w:rsidR="00944F95">
        <w:rPr>
          <w:rFonts w:ascii="Times New Roman" w:hAnsi="Times New Roman" w:cs="Times New Roman"/>
          <w:sz w:val="24"/>
          <w:szCs w:val="24"/>
        </w:rPr>
        <w:t>lu</w:t>
      </w:r>
      <w:r w:rsidR="004070A0">
        <w:rPr>
          <w:rFonts w:ascii="Times New Roman" w:hAnsi="Times New Roman" w:cs="Times New Roman"/>
          <w:sz w:val="24"/>
          <w:szCs w:val="24"/>
        </w:rPr>
        <w:t>e</w:t>
      </w:r>
      <w:r w:rsidR="00944F95">
        <w:rPr>
          <w:rFonts w:ascii="Times New Roman" w:hAnsi="Times New Roman" w:cs="Times New Roman"/>
          <w:sz w:val="24"/>
          <w:szCs w:val="24"/>
        </w:rPr>
        <w:t xml:space="preserve"> contributed in a</w:t>
      </w:r>
      <w:r w:rsidR="004070A0">
        <w:rPr>
          <w:rFonts w:ascii="Times New Roman" w:hAnsi="Times New Roman" w:cs="Times New Roman"/>
          <w:sz w:val="24"/>
          <w:szCs w:val="24"/>
        </w:rPr>
        <w:t>ny</w:t>
      </w:r>
      <w:r w:rsidR="00944F95">
        <w:rPr>
          <w:rFonts w:ascii="Times New Roman" w:hAnsi="Times New Roman" w:cs="Times New Roman"/>
          <w:sz w:val="24"/>
          <w:szCs w:val="24"/>
        </w:rPr>
        <w:t xml:space="preserve"> single year may not be representative of the value contributed on a </w:t>
      </w:r>
      <w:proofErr w:type="gramStart"/>
      <w:r w:rsidR="00944F95">
        <w:rPr>
          <w:rFonts w:ascii="Times New Roman" w:hAnsi="Times New Roman" w:cs="Times New Roman"/>
          <w:sz w:val="24"/>
          <w:szCs w:val="24"/>
        </w:rPr>
        <w:t>longer term</w:t>
      </w:r>
      <w:proofErr w:type="gramEnd"/>
      <w:r w:rsidR="00944F95">
        <w:rPr>
          <w:rFonts w:ascii="Times New Roman" w:hAnsi="Times New Roman" w:cs="Times New Roman"/>
          <w:sz w:val="24"/>
          <w:szCs w:val="24"/>
        </w:rPr>
        <w:t xml:space="preserve"> basis. For example, </w:t>
      </w:r>
      <w:r w:rsidR="004070A0">
        <w:rPr>
          <w:rFonts w:ascii="Times New Roman" w:hAnsi="Times New Roman" w:cs="Times New Roman"/>
          <w:sz w:val="24"/>
          <w:szCs w:val="24"/>
        </w:rPr>
        <w:t>the average contribution may be composed of regular annual expenditure and a larger ‘one off’ capital investment falling within a specific year. Companies may choose to add a short narrative to set out the context of their contribution over the longer term, but this is not a requirement.</w:t>
      </w:r>
      <w:r w:rsidR="00B82614">
        <w:rPr>
          <w:rFonts w:ascii="Times New Roman" w:hAnsi="Times New Roman" w:cs="Times New Roman"/>
          <w:sz w:val="24"/>
          <w:szCs w:val="24"/>
        </w:rPr>
        <w:t xml:space="preserve"> </w:t>
      </w:r>
    </w:p>
    <w:p w14:paraId="183CA116" w14:textId="540185C8" w:rsidR="00445F0B" w:rsidRPr="00445F0B" w:rsidRDefault="00445F0B" w:rsidP="00445F0B">
      <w:pPr>
        <w:rPr>
          <w:rFonts w:ascii="Times New Roman" w:hAnsi="Times New Roman" w:cs="Times New Roman"/>
          <w:sz w:val="24"/>
          <w:szCs w:val="24"/>
        </w:rPr>
      </w:pPr>
      <w:bookmarkStart w:id="8" w:name="_Hlk74752735"/>
      <w:r>
        <w:rPr>
          <w:rFonts w:ascii="Times New Roman" w:hAnsi="Times New Roman" w:cs="Times New Roman"/>
          <w:sz w:val="24"/>
          <w:szCs w:val="24"/>
          <w:u w:val="single"/>
        </w:rPr>
        <w:t>For the annual review</w:t>
      </w:r>
      <w:r w:rsidR="009D6B88">
        <w:rPr>
          <w:rFonts w:ascii="Times New Roman" w:hAnsi="Times New Roman" w:cs="Times New Roman"/>
          <w:sz w:val="24"/>
          <w:szCs w:val="24"/>
          <w:u w:val="single"/>
        </w:rPr>
        <w:t>:</w:t>
      </w:r>
      <w:r>
        <w:rPr>
          <w:rFonts w:ascii="Times New Roman" w:hAnsi="Times New Roman" w:cs="Times New Roman"/>
          <w:sz w:val="24"/>
          <w:szCs w:val="24"/>
        </w:rPr>
        <w:t xml:space="preserve"> </w:t>
      </w:r>
      <w:r w:rsidR="00CA2915">
        <w:rPr>
          <w:rFonts w:ascii="Times New Roman" w:hAnsi="Times New Roman" w:cs="Times New Roman"/>
          <w:sz w:val="24"/>
          <w:szCs w:val="24"/>
        </w:rPr>
        <w:t>T</w:t>
      </w:r>
      <w:r>
        <w:rPr>
          <w:rFonts w:ascii="Times New Roman" w:hAnsi="Times New Roman" w:cs="Times New Roman"/>
          <w:sz w:val="24"/>
          <w:szCs w:val="24"/>
        </w:rPr>
        <w:t xml:space="preserve">he Director </w:t>
      </w:r>
      <w:bookmarkEnd w:id="8"/>
      <w:r>
        <w:rPr>
          <w:rFonts w:ascii="Times New Roman" w:hAnsi="Times New Roman" w:cs="Times New Roman"/>
          <w:sz w:val="24"/>
          <w:szCs w:val="24"/>
        </w:rPr>
        <w:t>will note the contents of the reports, which will provide a useful evidence base for the contribution the fishing industry makes to the Falkland Islands economy.</w:t>
      </w:r>
      <w:r w:rsidR="00D66EF7">
        <w:rPr>
          <w:rFonts w:ascii="Times New Roman" w:hAnsi="Times New Roman" w:cs="Times New Roman"/>
          <w:sz w:val="24"/>
          <w:szCs w:val="24"/>
        </w:rPr>
        <w:t xml:space="preserve"> The level or types of contribution will not form a part of the assessment of a company’s progress against this target. Information provided as part of this report may </w:t>
      </w:r>
      <w:r w:rsidR="00D66EF7">
        <w:rPr>
          <w:rFonts w:ascii="Times New Roman" w:hAnsi="Times New Roman" w:cs="Times New Roman"/>
          <w:sz w:val="24"/>
          <w:szCs w:val="24"/>
        </w:rPr>
        <w:lastRenderedPageBreak/>
        <w:t>analysed by FIG. Any publication of data obtained through these reports will only be made on an industry level basis, no individual company data will be published.</w:t>
      </w:r>
      <w:r w:rsidR="00B8261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4E58AE1" w14:textId="77777777" w:rsidR="00C81DA1" w:rsidRDefault="00C81DA1" w:rsidP="00E523D9">
      <w:pPr>
        <w:rPr>
          <w:rFonts w:ascii="Times New Roman" w:hAnsi="Times New Roman" w:cs="Times New Roman"/>
          <w:i/>
          <w:sz w:val="24"/>
          <w:szCs w:val="24"/>
        </w:rPr>
      </w:pPr>
    </w:p>
    <w:p w14:paraId="18F6E820" w14:textId="25A44DAD" w:rsidR="008A5F16" w:rsidRPr="002657DF" w:rsidRDefault="008A5F16" w:rsidP="002657DF">
      <w:pPr>
        <w:rPr>
          <w:rFonts w:ascii="Times New Roman" w:hAnsi="Times New Roman" w:cs="Times New Roman"/>
          <w:b/>
          <w:sz w:val="24"/>
          <w:szCs w:val="24"/>
        </w:rPr>
      </w:pPr>
      <w:r w:rsidRPr="002657DF">
        <w:rPr>
          <w:rFonts w:ascii="Times New Roman" w:hAnsi="Times New Roman" w:cs="Times New Roman"/>
          <w:b/>
          <w:sz w:val="24"/>
          <w:szCs w:val="24"/>
        </w:rPr>
        <w:t>How it is intended that action plans will be reviewed and refreshed over time.</w:t>
      </w:r>
    </w:p>
    <w:p w14:paraId="5333D6AF" w14:textId="77777777" w:rsidR="008A5F16" w:rsidRDefault="008A5F16" w:rsidP="002657DF">
      <w:pPr>
        <w:rPr>
          <w:rFonts w:ascii="Times New Roman" w:hAnsi="Times New Roman" w:cs="Times New Roman"/>
          <w:sz w:val="24"/>
          <w:szCs w:val="24"/>
        </w:rPr>
      </w:pPr>
      <w:r w:rsidRPr="002D63F8">
        <w:rPr>
          <w:rFonts w:ascii="Times New Roman" w:hAnsi="Times New Roman" w:cs="Times New Roman"/>
          <w:sz w:val="24"/>
          <w:szCs w:val="24"/>
        </w:rPr>
        <w:t>Each action plan will set out the period it covers</w:t>
      </w:r>
      <w:r>
        <w:rPr>
          <w:rFonts w:ascii="Times New Roman" w:hAnsi="Times New Roman" w:cs="Times New Roman"/>
          <w:sz w:val="24"/>
          <w:szCs w:val="24"/>
        </w:rPr>
        <w:t>.</w:t>
      </w:r>
      <w:r w:rsidRPr="002D63F8">
        <w:rPr>
          <w:rFonts w:ascii="Times New Roman" w:hAnsi="Times New Roman" w:cs="Times New Roman"/>
          <w:sz w:val="24"/>
          <w:szCs w:val="24"/>
        </w:rPr>
        <w:t xml:space="preserve"> After that period, a new action plan must be drawn up and approved.</w:t>
      </w:r>
      <w:r>
        <w:rPr>
          <w:rFonts w:ascii="Times New Roman" w:hAnsi="Times New Roman" w:cs="Times New Roman"/>
          <w:sz w:val="24"/>
          <w:szCs w:val="24"/>
        </w:rPr>
        <w:t xml:space="preserve"> </w:t>
      </w:r>
    </w:p>
    <w:p w14:paraId="06BFE739" w14:textId="77777777" w:rsidR="008A5F16" w:rsidRDefault="008A5F16" w:rsidP="002657DF">
      <w:pPr>
        <w:rPr>
          <w:rFonts w:ascii="Times New Roman" w:hAnsi="Times New Roman" w:cs="Times New Roman"/>
          <w:sz w:val="24"/>
          <w:szCs w:val="24"/>
        </w:rPr>
      </w:pPr>
      <w:r>
        <w:rPr>
          <w:rFonts w:ascii="Times New Roman" w:hAnsi="Times New Roman" w:cs="Times New Roman"/>
          <w:sz w:val="24"/>
          <w:szCs w:val="24"/>
        </w:rPr>
        <w:t>This guidance applies to the</w:t>
      </w:r>
      <w:r w:rsidRPr="002D63F8">
        <w:rPr>
          <w:rFonts w:ascii="Times New Roman" w:hAnsi="Times New Roman" w:cs="Times New Roman"/>
          <w:sz w:val="24"/>
          <w:szCs w:val="24"/>
        </w:rPr>
        <w:t xml:space="preserve"> </w:t>
      </w:r>
      <w:r>
        <w:rPr>
          <w:rFonts w:ascii="Times New Roman" w:hAnsi="Times New Roman" w:cs="Times New Roman"/>
          <w:sz w:val="24"/>
          <w:szCs w:val="24"/>
        </w:rPr>
        <w:t>initial set of action plans, which will have a duration of</w:t>
      </w:r>
      <w:r w:rsidRPr="002D63F8">
        <w:rPr>
          <w:rFonts w:ascii="Times New Roman" w:hAnsi="Times New Roman" w:cs="Times New Roman"/>
          <w:sz w:val="24"/>
          <w:szCs w:val="24"/>
        </w:rPr>
        <w:t xml:space="preserve"> </w:t>
      </w:r>
      <w:r>
        <w:rPr>
          <w:rFonts w:ascii="Times New Roman" w:hAnsi="Times New Roman" w:cs="Times New Roman"/>
          <w:sz w:val="24"/>
          <w:szCs w:val="24"/>
        </w:rPr>
        <w:t>six</w:t>
      </w:r>
      <w:r w:rsidRPr="002D63F8">
        <w:rPr>
          <w:rFonts w:ascii="Times New Roman" w:hAnsi="Times New Roman" w:cs="Times New Roman"/>
          <w:sz w:val="24"/>
          <w:szCs w:val="24"/>
        </w:rPr>
        <w:t xml:space="preserve"> years</w:t>
      </w:r>
      <w:r>
        <w:rPr>
          <w:rFonts w:ascii="Times New Roman" w:hAnsi="Times New Roman" w:cs="Times New Roman"/>
          <w:sz w:val="24"/>
          <w:szCs w:val="24"/>
        </w:rPr>
        <w:t>. Targets will be set in advance for the full duration of the action plan.</w:t>
      </w:r>
    </w:p>
    <w:p w14:paraId="0B161B8D" w14:textId="77777777" w:rsidR="008A5F16" w:rsidRPr="002D63F8" w:rsidRDefault="008A5F16" w:rsidP="002657DF">
      <w:pPr>
        <w:rPr>
          <w:rFonts w:ascii="Times New Roman" w:hAnsi="Times New Roman" w:cs="Times New Roman"/>
          <w:sz w:val="24"/>
          <w:szCs w:val="24"/>
        </w:rPr>
      </w:pPr>
      <w:r w:rsidRPr="002D63F8">
        <w:rPr>
          <w:rFonts w:ascii="Times New Roman" w:hAnsi="Times New Roman" w:cs="Times New Roman"/>
          <w:sz w:val="24"/>
          <w:szCs w:val="24"/>
        </w:rPr>
        <w:t>Within the action plan period, the annual targets may be adjusted by agreement between the Director and the company, but cannot be varied unilaterally by either party</w:t>
      </w:r>
      <w:r>
        <w:rPr>
          <w:rFonts w:ascii="Times New Roman" w:hAnsi="Times New Roman" w:cs="Times New Roman"/>
          <w:sz w:val="24"/>
          <w:szCs w:val="24"/>
        </w:rPr>
        <w:t>.</w:t>
      </w:r>
    </w:p>
    <w:p w14:paraId="6A2B9948" w14:textId="77777777" w:rsidR="008A5F16" w:rsidRPr="002D63F8" w:rsidRDefault="008A5F16" w:rsidP="002657DF">
      <w:pPr>
        <w:rPr>
          <w:rFonts w:ascii="Times New Roman" w:hAnsi="Times New Roman" w:cs="Times New Roman"/>
          <w:sz w:val="24"/>
          <w:szCs w:val="24"/>
        </w:rPr>
      </w:pPr>
      <w:r>
        <w:rPr>
          <w:rFonts w:ascii="Times New Roman" w:hAnsi="Times New Roman" w:cs="Times New Roman"/>
          <w:sz w:val="24"/>
          <w:szCs w:val="24"/>
        </w:rPr>
        <w:t>The current policy intention is after that initial period, company action plans will be renewed</w:t>
      </w:r>
      <w:r w:rsidRPr="002D63F8">
        <w:rPr>
          <w:rFonts w:ascii="Times New Roman" w:hAnsi="Times New Roman" w:cs="Times New Roman"/>
          <w:sz w:val="24"/>
          <w:szCs w:val="24"/>
        </w:rPr>
        <w:t xml:space="preserve"> every </w:t>
      </w:r>
      <w:r>
        <w:rPr>
          <w:rFonts w:ascii="Times New Roman" w:hAnsi="Times New Roman" w:cs="Times New Roman"/>
          <w:sz w:val="24"/>
          <w:szCs w:val="24"/>
        </w:rPr>
        <w:t>four</w:t>
      </w:r>
      <w:r w:rsidRPr="002D63F8">
        <w:rPr>
          <w:rFonts w:ascii="Times New Roman" w:hAnsi="Times New Roman" w:cs="Times New Roman"/>
          <w:sz w:val="24"/>
          <w:szCs w:val="24"/>
        </w:rPr>
        <w:t xml:space="preserve"> years</w:t>
      </w:r>
      <w:r>
        <w:rPr>
          <w:rFonts w:ascii="Times New Roman" w:hAnsi="Times New Roman" w:cs="Times New Roman"/>
          <w:sz w:val="24"/>
          <w:szCs w:val="24"/>
        </w:rPr>
        <w:t>, and this will tie into the same cycle of review for the overall FIG-FIFCA action plan</w:t>
      </w:r>
      <w:r w:rsidRPr="002D63F8">
        <w:rPr>
          <w:rFonts w:ascii="Times New Roman" w:hAnsi="Times New Roman" w:cs="Times New Roman"/>
          <w:sz w:val="24"/>
          <w:szCs w:val="24"/>
        </w:rPr>
        <w:t>.</w:t>
      </w:r>
    </w:p>
    <w:p w14:paraId="0688C10E" w14:textId="524126A3" w:rsidR="002657DF" w:rsidRDefault="002657DF">
      <w:pPr>
        <w:rPr>
          <w:rFonts w:ascii="Times New Roman" w:hAnsi="Times New Roman" w:cs="Times New Roman"/>
          <w:b/>
          <w:sz w:val="24"/>
          <w:szCs w:val="24"/>
        </w:rPr>
      </w:pPr>
    </w:p>
    <w:p w14:paraId="256D9056" w14:textId="63DF3F35" w:rsidR="0002369B" w:rsidRPr="0002369B" w:rsidRDefault="0002369B">
      <w:pPr>
        <w:rPr>
          <w:rFonts w:ascii="Times New Roman" w:hAnsi="Times New Roman" w:cs="Times New Roman"/>
          <w:b/>
          <w:sz w:val="24"/>
          <w:szCs w:val="24"/>
        </w:rPr>
      </w:pPr>
      <w:r w:rsidRPr="0002369B">
        <w:rPr>
          <w:rFonts w:ascii="Times New Roman" w:hAnsi="Times New Roman" w:cs="Times New Roman"/>
          <w:b/>
          <w:sz w:val="24"/>
          <w:szCs w:val="24"/>
        </w:rPr>
        <w:t xml:space="preserve">How penalties may be applied if the objectives in action plans are not met </w:t>
      </w:r>
    </w:p>
    <w:p w14:paraId="45EDB83F" w14:textId="5EC59330" w:rsidR="0043408F" w:rsidRDefault="00AA1E1F">
      <w:pPr>
        <w:rPr>
          <w:rFonts w:ascii="Times New Roman" w:hAnsi="Times New Roman" w:cs="Times New Roman"/>
          <w:sz w:val="24"/>
          <w:szCs w:val="24"/>
        </w:rPr>
      </w:pPr>
      <w:r w:rsidRPr="002D63F8">
        <w:rPr>
          <w:rFonts w:ascii="Times New Roman" w:hAnsi="Times New Roman" w:cs="Times New Roman"/>
          <w:sz w:val="24"/>
          <w:szCs w:val="24"/>
        </w:rPr>
        <w:t xml:space="preserve">Progress </w:t>
      </w:r>
      <w:r w:rsidR="008A1BB6" w:rsidRPr="002D63F8">
        <w:rPr>
          <w:rFonts w:ascii="Times New Roman" w:hAnsi="Times New Roman" w:cs="Times New Roman"/>
          <w:sz w:val="24"/>
          <w:szCs w:val="24"/>
        </w:rPr>
        <w:t>against</w:t>
      </w:r>
      <w:r w:rsidRPr="002D63F8">
        <w:rPr>
          <w:rFonts w:ascii="Times New Roman" w:hAnsi="Times New Roman" w:cs="Times New Roman"/>
          <w:sz w:val="24"/>
          <w:szCs w:val="24"/>
        </w:rPr>
        <w:t xml:space="preserve"> </w:t>
      </w:r>
      <w:r w:rsidR="00C13316" w:rsidRPr="002D63F8">
        <w:rPr>
          <w:rFonts w:ascii="Times New Roman" w:hAnsi="Times New Roman" w:cs="Times New Roman"/>
          <w:sz w:val="24"/>
          <w:szCs w:val="24"/>
        </w:rPr>
        <w:t xml:space="preserve">the </w:t>
      </w:r>
      <w:r w:rsidRPr="002D63F8">
        <w:rPr>
          <w:rFonts w:ascii="Times New Roman" w:hAnsi="Times New Roman" w:cs="Times New Roman"/>
          <w:sz w:val="24"/>
          <w:szCs w:val="24"/>
        </w:rPr>
        <w:t xml:space="preserve">action </w:t>
      </w:r>
      <w:r w:rsidR="008A1BB6" w:rsidRPr="002D63F8">
        <w:rPr>
          <w:rFonts w:ascii="Times New Roman" w:hAnsi="Times New Roman" w:cs="Times New Roman"/>
          <w:sz w:val="24"/>
          <w:szCs w:val="24"/>
        </w:rPr>
        <w:t>plans</w:t>
      </w:r>
      <w:r w:rsidRPr="002D63F8">
        <w:rPr>
          <w:rFonts w:ascii="Times New Roman" w:hAnsi="Times New Roman" w:cs="Times New Roman"/>
          <w:sz w:val="24"/>
          <w:szCs w:val="24"/>
        </w:rPr>
        <w:t xml:space="preserve"> </w:t>
      </w:r>
      <w:r w:rsidR="00C13316" w:rsidRPr="002D63F8">
        <w:rPr>
          <w:rFonts w:ascii="Times New Roman" w:hAnsi="Times New Roman" w:cs="Times New Roman"/>
          <w:sz w:val="24"/>
          <w:szCs w:val="24"/>
        </w:rPr>
        <w:t>will</w:t>
      </w:r>
      <w:r w:rsidRPr="002D63F8">
        <w:rPr>
          <w:rFonts w:ascii="Times New Roman" w:hAnsi="Times New Roman" w:cs="Times New Roman"/>
          <w:sz w:val="24"/>
          <w:szCs w:val="24"/>
        </w:rPr>
        <w:t xml:space="preserve"> </w:t>
      </w:r>
      <w:r w:rsidR="008A1BB6" w:rsidRPr="002D63F8">
        <w:rPr>
          <w:rFonts w:ascii="Times New Roman" w:hAnsi="Times New Roman" w:cs="Times New Roman"/>
          <w:sz w:val="24"/>
          <w:szCs w:val="24"/>
        </w:rPr>
        <w:t>b</w:t>
      </w:r>
      <w:r w:rsidRPr="002D63F8">
        <w:rPr>
          <w:rFonts w:ascii="Times New Roman" w:hAnsi="Times New Roman" w:cs="Times New Roman"/>
          <w:sz w:val="24"/>
          <w:szCs w:val="24"/>
        </w:rPr>
        <w:t xml:space="preserve">e </w:t>
      </w:r>
      <w:r w:rsidR="008A1BB6" w:rsidRPr="002D63F8">
        <w:rPr>
          <w:rFonts w:ascii="Times New Roman" w:hAnsi="Times New Roman" w:cs="Times New Roman"/>
          <w:sz w:val="24"/>
          <w:szCs w:val="24"/>
        </w:rPr>
        <w:t>reviewed</w:t>
      </w:r>
      <w:r w:rsidRPr="002D63F8">
        <w:rPr>
          <w:rFonts w:ascii="Times New Roman" w:hAnsi="Times New Roman" w:cs="Times New Roman"/>
          <w:sz w:val="24"/>
          <w:szCs w:val="24"/>
        </w:rPr>
        <w:t xml:space="preserve"> annually by the </w:t>
      </w:r>
      <w:r w:rsidR="008A1BB6" w:rsidRPr="002D63F8">
        <w:rPr>
          <w:rFonts w:ascii="Times New Roman" w:hAnsi="Times New Roman" w:cs="Times New Roman"/>
          <w:sz w:val="24"/>
          <w:szCs w:val="24"/>
        </w:rPr>
        <w:t>Director</w:t>
      </w:r>
      <w:r w:rsidRPr="002D63F8">
        <w:rPr>
          <w:rFonts w:ascii="Times New Roman" w:hAnsi="Times New Roman" w:cs="Times New Roman"/>
          <w:sz w:val="24"/>
          <w:szCs w:val="24"/>
        </w:rPr>
        <w:t xml:space="preserve">. </w:t>
      </w:r>
      <w:r w:rsidR="0002369B">
        <w:rPr>
          <w:rFonts w:ascii="Times New Roman" w:hAnsi="Times New Roman" w:cs="Times New Roman"/>
          <w:sz w:val="24"/>
          <w:szCs w:val="24"/>
        </w:rPr>
        <w:t xml:space="preserve">This exercise will be conducted </w:t>
      </w:r>
      <w:r w:rsidR="0043408F">
        <w:rPr>
          <w:rFonts w:ascii="Times New Roman" w:hAnsi="Times New Roman" w:cs="Times New Roman"/>
          <w:sz w:val="24"/>
          <w:szCs w:val="24"/>
        </w:rPr>
        <w:t>at the same time as the annual renewal of ITQ</w:t>
      </w:r>
      <w:r w:rsidR="00EF4BAF">
        <w:rPr>
          <w:rFonts w:ascii="Times New Roman" w:hAnsi="Times New Roman" w:cs="Times New Roman"/>
          <w:sz w:val="24"/>
          <w:szCs w:val="24"/>
        </w:rPr>
        <w:t xml:space="preserve"> </w:t>
      </w:r>
      <w:r w:rsidR="0043408F">
        <w:rPr>
          <w:rFonts w:ascii="Times New Roman" w:hAnsi="Times New Roman" w:cs="Times New Roman"/>
          <w:sz w:val="24"/>
          <w:szCs w:val="24"/>
        </w:rPr>
        <w:t>B eligibility.</w:t>
      </w:r>
    </w:p>
    <w:p w14:paraId="0FAC36BE" w14:textId="12494574" w:rsidR="00AA1E1F" w:rsidRPr="002D63F8" w:rsidRDefault="0043408F">
      <w:pPr>
        <w:rPr>
          <w:rFonts w:ascii="Times New Roman" w:hAnsi="Times New Roman" w:cs="Times New Roman"/>
          <w:sz w:val="24"/>
          <w:szCs w:val="24"/>
        </w:rPr>
      </w:pPr>
      <w:r>
        <w:rPr>
          <w:rFonts w:ascii="Times New Roman" w:hAnsi="Times New Roman" w:cs="Times New Roman"/>
          <w:sz w:val="24"/>
          <w:szCs w:val="24"/>
        </w:rPr>
        <w:t>Wherever possible, the Director will assess progress against action plans by using data and information already held by the Department of Natural Resources. For some action plan commitment</w:t>
      </w:r>
      <w:r w:rsidR="00192A96">
        <w:rPr>
          <w:rFonts w:ascii="Times New Roman" w:hAnsi="Times New Roman" w:cs="Times New Roman"/>
          <w:sz w:val="24"/>
          <w:szCs w:val="24"/>
        </w:rPr>
        <w:t>s</w:t>
      </w:r>
      <w:r w:rsidR="00CA2915">
        <w:rPr>
          <w:rFonts w:ascii="Times New Roman" w:hAnsi="Times New Roman" w:cs="Times New Roman"/>
          <w:sz w:val="24"/>
          <w:szCs w:val="24"/>
        </w:rPr>
        <w:t>,</w:t>
      </w:r>
      <w:r>
        <w:rPr>
          <w:rFonts w:ascii="Times New Roman" w:hAnsi="Times New Roman" w:cs="Times New Roman"/>
          <w:sz w:val="24"/>
          <w:szCs w:val="24"/>
        </w:rPr>
        <w:t xml:space="preserve"> a short report will be required form the company, as detailed above. </w:t>
      </w:r>
      <w:r w:rsidR="008A1BB6" w:rsidRPr="002D63F8">
        <w:rPr>
          <w:rFonts w:ascii="Times New Roman" w:hAnsi="Times New Roman" w:cs="Times New Roman"/>
          <w:sz w:val="24"/>
          <w:szCs w:val="24"/>
        </w:rPr>
        <w:t>Companies</w:t>
      </w:r>
      <w:r w:rsidR="00AA1E1F" w:rsidRPr="002D63F8">
        <w:rPr>
          <w:rFonts w:ascii="Times New Roman" w:hAnsi="Times New Roman" w:cs="Times New Roman"/>
          <w:sz w:val="24"/>
          <w:szCs w:val="24"/>
        </w:rPr>
        <w:t xml:space="preserve"> must submit </w:t>
      </w:r>
      <w:r>
        <w:rPr>
          <w:rFonts w:ascii="Times New Roman" w:hAnsi="Times New Roman" w:cs="Times New Roman"/>
          <w:sz w:val="24"/>
          <w:szCs w:val="24"/>
        </w:rPr>
        <w:t xml:space="preserve">additional </w:t>
      </w:r>
      <w:r w:rsidR="008A1BB6" w:rsidRPr="002D63F8">
        <w:rPr>
          <w:rFonts w:ascii="Times New Roman" w:hAnsi="Times New Roman" w:cs="Times New Roman"/>
          <w:sz w:val="24"/>
          <w:szCs w:val="24"/>
        </w:rPr>
        <w:t>evidence</w:t>
      </w:r>
      <w:r>
        <w:rPr>
          <w:rFonts w:ascii="Times New Roman" w:hAnsi="Times New Roman" w:cs="Times New Roman"/>
          <w:sz w:val="24"/>
          <w:szCs w:val="24"/>
        </w:rPr>
        <w:t>,</w:t>
      </w:r>
      <w:r w:rsidR="00AA1E1F" w:rsidRPr="002D63F8">
        <w:rPr>
          <w:rFonts w:ascii="Times New Roman" w:hAnsi="Times New Roman" w:cs="Times New Roman"/>
          <w:sz w:val="24"/>
          <w:szCs w:val="24"/>
        </w:rPr>
        <w:t xml:space="preserve"> if requested</w:t>
      </w:r>
      <w:r>
        <w:rPr>
          <w:rFonts w:ascii="Times New Roman" w:hAnsi="Times New Roman" w:cs="Times New Roman"/>
          <w:sz w:val="24"/>
          <w:szCs w:val="24"/>
        </w:rPr>
        <w:t xml:space="preserve">, but </w:t>
      </w:r>
      <w:r w:rsidR="003A2096">
        <w:rPr>
          <w:rFonts w:ascii="Times New Roman" w:hAnsi="Times New Roman" w:cs="Times New Roman"/>
          <w:sz w:val="24"/>
          <w:szCs w:val="24"/>
        </w:rPr>
        <w:t>the Director</w:t>
      </w:r>
      <w:r w:rsidR="00AA1E1F" w:rsidRPr="002D63F8">
        <w:rPr>
          <w:rFonts w:ascii="Times New Roman" w:hAnsi="Times New Roman" w:cs="Times New Roman"/>
          <w:sz w:val="24"/>
          <w:szCs w:val="24"/>
        </w:rPr>
        <w:t xml:space="preserve"> </w:t>
      </w:r>
      <w:r>
        <w:rPr>
          <w:rFonts w:ascii="Times New Roman" w:hAnsi="Times New Roman" w:cs="Times New Roman"/>
          <w:sz w:val="24"/>
          <w:szCs w:val="24"/>
        </w:rPr>
        <w:t>will keep such requests to the necessary minimum.</w:t>
      </w:r>
    </w:p>
    <w:p w14:paraId="531E71BF" w14:textId="7F2624B6" w:rsidR="00AA1E1F" w:rsidRPr="002D63F8" w:rsidRDefault="00C13316">
      <w:pPr>
        <w:rPr>
          <w:rFonts w:ascii="Times New Roman" w:hAnsi="Times New Roman" w:cs="Times New Roman"/>
          <w:sz w:val="24"/>
          <w:szCs w:val="24"/>
        </w:rPr>
      </w:pPr>
      <w:r w:rsidRPr="002D63F8">
        <w:rPr>
          <w:rFonts w:ascii="Times New Roman" w:hAnsi="Times New Roman" w:cs="Times New Roman"/>
          <w:sz w:val="24"/>
          <w:szCs w:val="24"/>
        </w:rPr>
        <w:t xml:space="preserve">The </w:t>
      </w:r>
      <w:r w:rsidR="00AA1E1F" w:rsidRPr="002D63F8">
        <w:rPr>
          <w:rFonts w:ascii="Times New Roman" w:hAnsi="Times New Roman" w:cs="Times New Roman"/>
          <w:sz w:val="24"/>
          <w:szCs w:val="24"/>
        </w:rPr>
        <w:t>Director may impose penalties if action plan objectives are not met</w:t>
      </w:r>
      <w:r w:rsidR="00EF4BAF">
        <w:rPr>
          <w:rFonts w:ascii="Times New Roman" w:hAnsi="Times New Roman" w:cs="Times New Roman"/>
          <w:sz w:val="24"/>
          <w:szCs w:val="24"/>
        </w:rPr>
        <w:t>, but must take into account any mitigating circumstances</w:t>
      </w:r>
      <w:r w:rsidR="00AA1E1F" w:rsidRPr="002D63F8">
        <w:rPr>
          <w:rFonts w:ascii="Times New Roman" w:hAnsi="Times New Roman" w:cs="Times New Roman"/>
          <w:sz w:val="24"/>
          <w:szCs w:val="24"/>
        </w:rPr>
        <w:t>.</w:t>
      </w:r>
      <w:r w:rsidR="00EF4BAF">
        <w:rPr>
          <w:rFonts w:ascii="Times New Roman" w:hAnsi="Times New Roman" w:cs="Times New Roman"/>
          <w:sz w:val="24"/>
          <w:szCs w:val="24"/>
        </w:rPr>
        <w:t xml:space="preserve"> Any penalties must be</w:t>
      </w:r>
      <w:r w:rsidR="00F51FD8">
        <w:rPr>
          <w:rFonts w:ascii="Times New Roman" w:hAnsi="Times New Roman" w:cs="Times New Roman"/>
          <w:sz w:val="24"/>
          <w:szCs w:val="24"/>
        </w:rPr>
        <w:t xml:space="preserve"> reasonable and</w:t>
      </w:r>
      <w:r w:rsidR="00EF4BAF">
        <w:rPr>
          <w:rFonts w:ascii="Times New Roman" w:hAnsi="Times New Roman" w:cs="Times New Roman"/>
          <w:sz w:val="24"/>
          <w:szCs w:val="24"/>
        </w:rPr>
        <w:t xml:space="preserve"> proportionate</w:t>
      </w:r>
      <w:r w:rsidR="00F51FD8">
        <w:rPr>
          <w:rFonts w:ascii="Times New Roman" w:hAnsi="Times New Roman" w:cs="Times New Roman"/>
          <w:sz w:val="24"/>
          <w:szCs w:val="24"/>
        </w:rPr>
        <w:t>,</w:t>
      </w:r>
      <w:r w:rsidR="00EF4BAF">
        <w:rPr>
          <w:rFonts w:ascii="Times New Roman" w:hAnsi="Times New Roman" w:cs="Times New Roman"/>
          <w:sz w:val="24"/>
          <w:szCs w:val="24"/>
        </w:rPr>
        <w:t xml:space="preserve"> and</w:t>
      </w:r>
      <w:r w:rsidR="00F51FD8">
        <w:rPr>
          <w:rFonts w:ascii="Times New Roman" w:hAnsi="Times New Roman" w:cs="Times New Roman"/>
          <w:sz w:val="24"/>
          <w:szCs w:val="24"/>
        </w:rPr>
        <w:t xml:space="preserve"> this principle is written in to the Ordinance (section 17</w:t>
      </w:r>
      <w:proofErr w:type="gramStart"/>
      <w:r w:rsidR="00F51FD8">
        <w:rPr>
          <w:rFonts w:ascii="Times New Roman" w:hAnsi="Times New Roman" w:cs="Times New Roman"/>
          <w:sz w:val="24"/>
          <w:szCs w:val="24"/>
        </w:rPr>
        <w:t>F(</w:t>
      </w:r>
      <w:proofErr w:type="gramEnd"/>
      <w:r w:rsidR="00F51FD8">
        <w:rPr>
          <w:rFonts w:ascii="Times New Roman" w:hAnsi="Times New Roman" w:cs="Times New Roman"/>
          <w:sz w:val="24"/>
          <w:szCs w:val="24"/>
        </w:rPr>
        <w:t>3))</w:t>
      </w:r>
      <w:r w:rsidR="00EF4BAF">
        <w:rPr>
          <w:rFonts w:ascii="Times New Roman" w:hAnsi="Times New Roman" w:cs="Times New Roman"/>
          <w:sz w:val="24"/>
          <w:szCs w:val="24"/>
        </w:rPr>
        <w:t>.</w:t>
      </w:r>
    </w:p>
    <w:p w14:paraId="4B682F87" w14:textId="1900F067" w:rsidR="0043408F" w:rsidRDefault="00AA1E1F">
      <w:pPr>
        <w:rPr>
          <w:rFonts w:ascii="Times New Roman" w:hAnsi="Times New Roman" w:cs="Times New Roman"/>
          <w:sz w:val="24"/>
          <w:szCs w:val="24"/>
        </w:rPr>
      </w:pPr>
      <w:r w:rsidRPr="002D63F8">
        <w:rPr>
          <w:rFonts w:ascii="Times New Roman" w:hAnsi="Times New Roman" w:cs="Times New Roman"/>
          <w:sz w:val="24"/>
          <w:szCs w:val="24"/>
        </w:rPr>
        <w:t>The maximum penalt</w:t>
      </w:r>
      <w:r w:rsidR="00192A96">
        <w:rPr>
          <w:rFonts w:ascii="Times New Roman" w:hAnsi="Times New Roman" w:cs="Times New Roman"/>
          <w:sz w:val="24"/>
          <w:szCs w:val="24"/>
        </w:rPr>
        <w:t xml:space="preserve">ies are set out in </w:t>
      </w:r>
      <w:r w:rsidR="006A6156">
        <w:rPr>
          <w:rFonts w:ascii="Times New Roman" w:hAnsi="Times New Roman" w:cs="Times New Roman"/>
          <w:sz w:val="24"/>
          <w:szCs w:val="24"/>
        </w:rPr>
        <w:t xml:space="preserve">section 17F of </w:t>
      </w:r>
      <w:r w:rsidR="00192A96">
        <w:rPr>
          <w:rFonts w:ascii="Times New Roman" w:hAnsi="Times New Roman" w:cs="Times New Roman"/>
          <w:sz w:val="24"/>
          <w:szCs w:val="24"/>
        </w:rPr>
        <w:t>the revised Ordinance</w:t>
      </w:r>
      <w:r w:rsidR="0043408F">
        <w:rPr>
          <w:rFonts w:ascii="Times New Roman" w:hAnsi="Times New Roman" w:cs="Times New Roman"/>
          <w:sz w:val="24"/>
          <w:szCs w:val="24"/>
        </w:rPr>
        <w:t>:</w:t>
      </w:r>
    </w:p>
    <w:p w14:paraId="3508F029" w14:textId="77777777" w:rsidR="006A6156" w:rsidRDefault="0043408F" w:rsidP="004340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w:t>
      </w:r>
      <w:r w:rsidR="00AA1E1F" w:rsidRPr="0043408F">
        <w:rPr>
          <w:rFonts w:ascii="Times New Roman" w:hAnsi="Times New Roman" w:cs="Times New Roman"/>
          <w:sz w:val="24"/>
          <w:szCs w:val="24"/>
        </w:rPr>
        <w:t xml:space="preserve"> financial</w:t>
      </w:r>
      <w:r>
        <w:rPr>
          <w:rFonts w:ascii="Times New Roman" w:hAnsi="Times New Roman" w:cs="Times New Roman"/>
          <w:sz w:val="24"/>
          <w:szCs w:val="24"/>
        </w:rPr>
        <w:t xml:space="preserve"> penalty of</w:t>
      </w:r>
      <w:r w:rsidR="006A6156">
        <w:rPr>
          <w:rFonts w:ascii="Times New Roman" w:hAnsi="Times New Roman" w:cs="Times New Roman"/>
          <w:sz w:val="24"/>
          <w:szCs w:val="24"/>
        </w:rPr>
        <w:t>:</w:t>
      </w:r>
    </w:p>
    <w:p w14:paraId="3DCDCE8E" w14:textId="77777777" w:rsidR="008A5F16" w:rsidRDefault="006A6156" w:rsidP="006A6156">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for a breach related to transhipment, the shortfall </w:t>
      </w:r>
      <w:r w:rsidR="008A5F16">
        <w:rPr>
          <w:rFonts w:ascii="Times New Roman" w:hAnsi="Times New Roman" w:cs="Times New Roman"/>
          <w:sz w:val="24"/>
          <w:szCs w:val="24"/>
        </w:rPr>
        <w:t>o</w:t>
      </w:r>
      <w:r>
        <w:rPr>
          <w:rFonts w:ascii="Times New Roman" w:hAnsi="Times New Roman" w:cs="Times New Roman"/>
          <w:sz w:val="24"/>
          <w:szCs w:val="24"/>
        </w:rPr>
        <w:t>f the target (in metric tonnes) multiped by the rel</w:t>
      </w:r>
      <w:r w:rsidR="008A5F16">
        <w:rPr>
          <w:rFonts w:ascii="Times New Roman" w:hAnsi="Times New Roman" w:cs="Times New Roman"/>
          <w:sz w:val="24"/>
          <w:szCs w:val="24"/>
        </w:rPr>
        <w:t>e</w:t>
      </w:r>
      <w:r>
        <w:rPr>
          <w:rFonts w:ascii="Times New Roman" w:hAnsi="Times New Roman" w:cs="Times New Roman"/>
          <w:sz w:val="24"/>
          <w:szCs w:val="24"/>
        </w:rPr>
        <w:t>v</w:t>
      </w:r>
      <w:r w:rsidR="008A5F16">
        <w:rPr>
          <w:rFonts w:ascii="Times New Roman" w:hAnsi="Times New Roman" w:cs="Times New Roman"/>
          <w:sz w:val="24"/>
          <w:szCs w:val="24"/>
        </w:rPr>
        <w:t>a</w:t>
      </w:r>
      <w:r>
        <w:rPr>
          <w:rFonts w:ascii="Times New Roman" w:hAnsi="Times New Roman" w:cs="Times New Roman"/>
          <w:sz w:val="24"/>
          <w:szCs w:val="24"/>
        </w:rPr>
        <w:t>nt freight rate (</w:t>
      </w:r>
      <w:r w:rsidR="008A5F16">
        <w:rPr>
          <w:rFonts w:ascii="Times New Roman" w:hAnsi="Times New Roman" w:cs="Times New Roman"/>
          <w:sz w:val="24"/>
          <w:szCs w:val="24"/>
        </w:rPr>
        <w:t>£ per metric tonne)</w:t>
      </w:r>
    </w:p>
    <w:p w14:paraId="383CD480" w14:textId="6DEFADD5" w:rsidR="0043408F" w:rsidRDefault="008A5F16" w:rsidP="002657DF">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for any other breach, </w:t>
      </w:r>
      <w:r w:rsidR="0043408F">
        <w:rPr>
          <w:rFonts w:ascii="Times New Roman" w:hAnsi="Times New Roman" w:cs="Times New Roman"/>
          <w:sz w:val="24"/>
          <w:szCs w:val="24"/>
        </w:rPr>
        <w:t xml:space="preserve">the total </w:t>
      </w:r>
      <w:r>
        <w:rPr>
          <w:rFonts w:ascii="Times New Roman" w:hAnsi="Times New Roman" w:cs="Times New Roman"/>
          <w:sz w:val="24"/>
          <w:szCs w:val="24"/>
        </w:rPr>
        <w:t xml:space="preserve">gross </w:t>
      </w:r>
      <w:r w:rsidR="00151E68">
        <w:rPr>
          <w:rFonts w:ascii="Times New Roman" w:hAnsi="Times New Roman" w:cs="Times New Roman"/>
          <w:sz w:val="24"/>
          <w:szCs w:val="24"/>
        </w:rPr>
        <w:t>value of the eligible company’s catch for the year</w:t>
      </w:r>
      <w:r>
        <w:rPr>
          <w:rFonts w:ascii="Times New Roman" w:hAnsi="Times New Roman" w:cs="Times New Roman"/>
          <w:sz w:val="24"/>
          <w:szCs w:val="24"/>
        </w:rPr>
        <w:t xml:space="preserve"> (which would be </w:t>
      </w:r>
      <w:r w:rsidR="00151E68">
        <w:rPr>
          <w:rFonts w:ascii="Times New Roman" w:hAnsi="Times New Roman" w:cs="Times New Roman"/>
          <w:sz w:val="24"/>
          <w:szCs w:val="24"/>
        </w:rPr>
        <w:t>based on the caught weight contained in catch reports</w:t>
      </w:r>
      <w:r>
        <w:rPr>
          <w:rFonts w:ascii="Times New Roman" w:hAnsi="Times New Roman" w:cs="Times New Roman"/>
          <w:sz w:val="24"/>
          <w:szCs w:val="24"/>
        </w:rPr>
        <w:t>)</w:t>
      </w:r>
      <w:r w:rsidR="0043408F">
        <w:rPr>
          <w:rFonts w:ascii="Times New Roman" w:hAnsi="Times New Roman" w:cs="Times New Roman"/>
          <w:sz w:val="24"/>
          <w:szCs w:val="24"/>
        </w:rPr>
        <w:t>; and</w:t>
      </w:r>
    </w:p>
    <w:p w14:paraId="15B4EC59" w14:textId="44DB3893" w:rsidR="0043408F" w:rsidRDefault="0043408F" w:rsidP="004340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wi</w:t>
      </w:r>
      <w:r w:rsidR="00AA1E1F" w:rsidRPr="0043408F">
        <w:rPr>
          <w:rFonts w:ascii="Times New Roman" w:hAnsi="Times New Roman" w:cs="Times New Roman"/>
          <w:sz w:val="24"/>
          <w:szCs w:val="24"/>
        </w:rPr>
        <w:t xml:space="preserve">thholding of a full season’s </w:t>
      </w:r>
      <w:r w:rsidR="00506E93">
        <w:rPr>
          <w:rFonts w:ascii="Times New Roman" w:hAnsi="Times New Roman" w:cs="Times New Roman"/>
          <w:sz w:val="24"/>
          <w:szCs w:val="24"/>
        </w:rPr>
        <w:t>C</w:t>
      </w:r>
      <w:r w:rsidR="00AA1E1F" w:rsidRPr="0043408F">
        <w:rPr>
          <w:rFonts w:ascii="Times New Roman" w:hAnsi="Times New Roman" w:cs="Times New Roman"/>
          <w:sz w:val="24"/>
          <w:szCs w:val="24"/>
        </w:rPr>
        <w:t xml:space="preserve">atch </w:t>
      </w:r>
      <w:r w:rsidR="00506E93">
        <w:rPr>
          <w:rFonts w:ascii="Times New Roman" w:hAnsi="Times New Roman" w:cs="Times New Roman"/>
          <w:sz w:val="24"/>
          <w:szCs w:val="24"/>
        </w:rPr>
        <w:t>E</w:t>
      </w:r>
      <w:r w:rsidR="008A1BB6" w:rsidRPr="0043408F">
        <w:rPr>
          <w:rFonts w:ascii="Times New Roman" w:hAnsi="Times New Roman" w:cs="Times New Roman"/>
          <w:sz w:val="24"/>
          <w:szCs w:val="24"/>
        </w:rPr>
        <w:t>ntitlement</w:t>
      </w:r>
      <w:r>
        <w:rPr>
          <w:rFonts w:ascii="Times New Roman" w:hAnsi="Times New Roman" w:cs="Times New Roman"/>
          <w:sz w:val="24"/>
          <w:szCs w:val="24"/>
        </w:rPr>
        <w:t>; and</w:t>
      </w:r>
    </w:p>
    <w:p w14:paraId="51FE937D" w14:textId="53F258F4" w:rsidR="00AA1E1F" w:rsidRPr="0043408F" w:rsidRDefault="006A6156" w:rsidP="0043408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suspension or restriction of the right to buy and hold </w:t>
      </w:r>
      <w:r w:rsidR="00506E93">
        <w:rPr>
          <w:rFonts w:ascii="Times New Roman" w:hAnsi="Times New Roman" w:cs="Times New Roman"/>
          <w:sz w:val="24"/>
          <w:szCs w:val="24"/>
        </w:rPr>
        <w:t>C</w:t>
      </w:r>
      <w:r>
        <w:rPr>
          <w:rFonts w:ascii="Times New Roman" w:hAnsi="Times New Roman" w:cs="Times New Roman"/>
          <w:sz w:val="24"/>
          <w:szCs w:val="24"/>
        </w:rPr>
        <w:t xml:space="preserve">atch </w:t>
      </w:r>
      <w:r w:rsidR="00506E93">
        <w:rPr>
          <w:rFonts w:ascii="Times New Roman" w:hAnsi="Times New Roman" w:cs="Times New Roman"/>
          <w:sz w:val="24"/>
          <w:szCs w:val="24"/>
        </w:rPr>
        <w:t>E</w:t>
      </w:r>
      <w:r>
        <w:rPr>
          <w:rFonts w:ascii="Times New Roman" w:hAnsi="Times New Roman" w:cs="Times New Roman"/>
          <w:sz w:val="24"/>
          <w:szCs w:val="24"/>
        </w:rPr>
        <w:t>nti</w:t>
      </w:r>
      <w:r w:rsidR="003C72D6">
        <w:rPr>
          <w:rFonts w:ascii="Times New Roman" w:hAnsi="Times New Roman" w:cs="Times New Roman"/>
          <w:sz w:val="24"/>
          <w:szCs w:val="24"/>
        </w:rPr>
        <w:t>t</w:t>
      </w:r>
      <w:r>
        <w:rPr>
          <w:rFonts w:ascii="Times New Roman" w:hAnsi="Times New Roman" w:cs="Times New Roman"/>
          <w:sz w:val="24"/>
          <w:szCs w:val="24"/>
        </w:rPr>
        <w:t>lem</w:t>
      </w:r>
      <w:r w:rsidR="003C72D6">
        <w:rPr>
          <w:rFonts w:ascii="Times New Roman" w:hAnsi="Times New Roman" w:cs="Times New Roman"/>
          <w:sz w:val="24"/>
          <w:szCs w:val="24"/>
        </w:rPr>
        <w:t>en</w:t>
      </w:r>
      <w:r>
        <w:rPr>
          <w:rFonts w:ascii="Times New Roman" w:hAnsi="Times New Roman" w:cs="Times New Roman"/>
          <w:sz w:val="24"/>
          <w:szCs w:val="24"/>
        </w:rPr>
        <w:t>t f</w:t>
      </w:r>
      <w:r w:rsidR="003C72D6">
        <w:rPr>
          <w:rFonts w:ascii="Times New Roman" w:hAnsi="Times New Roman" w:cs="Times New Roman"/>
          <w:sz w:val="24"/>
          <w:szCs w:val="24"/>
        </w:rPr>
        <w:t>o</w:t>
      </w:r>
      <w:r>
        <w:rPr>
          <w:rFonts w:ascii="Times New Roman" w:hAnsi="Times New Roman" w:cs="Times New Roman"/>
          <w:sz w:val="24"/>
          <w:szCs w:val="24"/>
        </w:rPr>
        <w:t>r the next season</w:t>
      </w:r>
      <w:r w:rsidR="00AA1E1F" w:rsidRPr="0043408F">
        <w:rPr>
          <w:rFonts w:ascii="Times New Roman" w:hAnsi="Times New Roman" w:cs="Times New Roman"/>
          <w:sz w:val="24"/>
          <w:szCs w:val="24"/>
        </w:rPr>
        <w:t>.</w:t>
      </w:r>
    </w:p>
    <w:p w14:paraId="7596B62E" w14:textId="77777777" w:rsidR="008A5F16" w:rsidRDefault="008A5F16" w:rsidP="008A5F16">
      <w:pPr>
        <w:rPr>
          <w:rFonts w:ascii="Times New Roman" w:hAnsi="Times New Roman" w:cs="Times New Roman"/>
          <w:sz w:val="24"/>
          <w:szCs w:val="24"/>
        </w:rPr>
      </w:pPr>
      <w:r w:rsidRPr="002D63F8">
        <w:rPr>
          <w:rFonts w:ascii="Times New Roman" w:hAnsi="Times New Roman" w:cs="Times New Roman"/>
          <w:sz w:val="24"/>
          <w:szCs w:val="24"/>
        </w:rPr>
        <w:t>The Director</w:t>
      </w:r>
      <w:r>
        <w:rPr>
          <w:rFonts w:ascii="Times New Roman" w:hAnsi="Times New Roman" w:cs="Times New Roman"/>
          <w:sz w:val="24"/>
          <w:szCs w:val="24"/>
        </w:rPr>
        <w:t xml:space="preserve"> has the power to</w:t>
      </w:r>
      <w:r w:rsidRPr="002D63F8">
        <w:rPr>
          <w:rFonts w:ascii="Times New Roman" w:hAnsi="Times New Roman" w:cs="Times New Roman"/>
          <w:sz w:val="24"/>
          <w:szCs w:val="24"/>
        </w:rPr>
        <w:t xml:space="preserve"> impose </w:t>
      </w:r>
      <w:r>
        <w:rPr>
          <w:rFonts w:ascii="Times New Roman" w:hAnsi="Times New Roman" w:cs="Times New Roman"/>
          <w:sz w:val="24"/>
          <w:szCs w:val="24"/>
        </w:rPr>
        <w:t xml:space="preserve">a combination of the above </w:t>
      </w:r>
      <w:r w:rsidRPr="002D63F8">
        <w:rPr>
          <w:rFonts w:ascii="Times New Roman" w:hAnsi="Times New Roman" w:cs="Times New Roman"/>
          <w:sz w:val="24"/>
          <w:szCs w:val="24"/>
        </w:rPr>
        <w:t>penalt</w:t>
      </w:r>
      <w:r>
        <w:rPr>
          <w:rFonts w:ascii="Times New Roman" w:hAnsi="Times New Roman" w:cs="Times New Roman"/>
          <w:sz w:val="24"/>
          <w:szCs w:val="24"/>
        </w:rPr>
        <w:t xml:space="preserve">ies for a </w:t>
      </w:r>
      <w:r w:rsidRPr="002D63F8">
        <w:rPr>
          <w:rFonts w:ascii="Times New Roman" w:hAnsi="Times New Roman" w:cs="Times New Roman"/>
          <w:sz w:val="24"/>
          <w:szCs w:val="24"/>
        </w:rPr>
        <w:t xml:space="preserve">single </w:t>
      </w:r>
      <w:r>
        <w:rPr>
          <w:rFonts w:ascii="Times New Roman" w:hAnsi="Times New Roman" w:cs="Times New Roman"/>
          <w:sz w:val="24"/>
          <w:szCs w:val="24"/>
        </w:rPr>
        <w:t>breach of the action plan commitments. This would be a rare</w:t>
      </w:r>
      <w:r w:rsidRPr="002D63F8">
        <w:rPr>
          <w:rFonts w:ascii="Times New Roman" w:hAnsi="Times New Roman" w:cs="Times New Roman"/>
          <w:sz w:val="24"/>
          <w:szCs w:val="24"/>
        </w:rPr>
        <w:t xml:space="preserve"> exception</w:t>
      </w:r>
      <w:r>
        <w:rPr>
          <w:rFonts w:ascii="Times New Roman" w:hAnsi="Times New Roman" w:cs="Times New Roman"/>
          <w:sz w:val="24"/>
          <w:szCs w:val="24"/>
        </w:rPr>
        <w:t>, for a serious and/or repeated breach</w:t>
      </w:r>
      <w:r w:rsidRPr="002D63F8">
        <w:rPr>
          <w:rFonts w:ascii="Times New Roman" w:hAnsi="Times New Roman" w:cs="Times New Roman"/>
          <w:sz w:val="24"/>
          <w:szCs w:val="24"/>
        </w:rPr>
        <w:t>.</w:t>
      </w:r>
    </w:p>
    <w:p w14:paraId="6146293B" w14:textId="259B53E5" w:rsidR="00BC63B8" w:rsidRDefault="00BC63B8">
      <w:pPr>
        <w:rPr>
          <w:rFonts w:ascii="Times New Roman" w:hAnsi="Times New Roman" w:cs="Times New Roman"/>
          <w:sz w:val="24"/>
          <w:szCs w:val="24"/>
        </w:rPr>
      </w:pPr>
      <w:r>
        <w:rPr>
          <w:rFonts w:ascii="Times New Roman" w:hAnsi="Times New Roman" w:cs="Times New Roman"/>
          <w:sz w:val="24"/>
          <w:szCs w:val="24"/>
        </w:rPr>
        <w:lastRenderedPageBreak/>
        <w:t>The Director’s policy on penalties is:</w:t>
      </w:r>
    </w:p>
    <w:p w14:paraId="524958A6" w14:textId="5B0D3C37" w:rsidR="00BC63B8" w:rsidRDefault="00BC63B8" w:rsidP="00BC63B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to issue a warning letter only, for a first breach of action plan commitments, unless it is a serious breach and/or the company has deliberately failed to fulfil its commitments</w:t>
      </w:r>
    </w:p>
    <w:p w14:paraId="283171D8" w14:textId="2EFBC1E7" w:rsidR="00BC63B8" w:rsidRDefault="00BC63B8" w:rsidP="00BC63B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to consider financial penalties as the appropriate penalty in most cases</w:t>
      </w:r>
      <w:r w:rsidR="000055B6">
        <w:rPr>
          <w:rFonts w:ascii="Times New Roman" w:hAnsi="Times New Roman" w:cs="Times New Roman"/>
          <w:sz w:val="24"/>
          <w:szCs w:val="24"/>
        </w:rPr>
        <w:t>, increasing the amount in cases of repeated breaches</w:t>
      </w:r>
    </w:p>
    <w:p w14:paraId="25CBF308" w14:textId="09D9F609" w:rsidR="00BC63B8" w:rsidRPr="00BC63B8" w:rsidRDefault="00BC63B8" w:rsidP="00BC63B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to impose penalties </w:t>
      </w:r>
      <w:r w:rsidR="006622C7">
        <w:rPr>
          <w:rFonts w:ascii="Times New Roman" w:hAnsi="Times New Roman" w:cs="Times New Roman"/>
          <w:sz w:val="24"/>
          <w:szCs w:val="24"/>
        </w:rPr>
        <w:t>involving the withdrawal of</w:t>
      </w:r>
      <w:r>
        <w:rPr>
          <w:rFonts w:ascii="Times New Roman" w:hAnsi="Times New Roman" w:cs="Times New Roman"/>
          <w:sz w:val="24"/>
          <w:szCs w:val="24"/>
        </w:rPr>
        <w:t xml:space="preserve"> </w:t>
      </w:r>
      <w:r w:rsidR="00506E93">
        <w:rPr>
          <w:rFonts w:ascii="Times New Roman" w:hAnsi="Times New Roman" w:cs="Times New Roman"/>
          <w:sz w:val="24"/>
          <w:szCs w:val="24"/>
        </w:rPr>
        <w:t>C</w:t>
      </w:r>
      <w:r>
        <w:rPr>
          <w:rFonts w:ascii="Times New Roman" w:hAnsi="Times New Roman" w:cs="Times New Roman"/>
          <w:sz w:val="24"/>
          <w:szCs w:val="24"/>
        </w:rPr>
        <w:t xml:space="preserve">atch </w:t>
      </w:r>
      <w:r w:rsidR="00506E93">
        <w:rPr>
          <w:rFonts w:ascii="Times New Roman" w:hAnsi="Times New Roman" w:cs="Times New Roman"/>
          <w:sz w:val="24"/>
          <w:szCs w:val="24"/>
        </w:rPr>
        <w:t>E</w:t>
      </w:r>
      <w:r>
        <w:rPr>
          <w:rFonts w:ascii="Times New Roman" w:hAnsi="Times New Roman" w:cs="Times New Roman"/>
          <w:sz w:val="24"/>
          <w:szCs w:val="24"/>
        </w:rPr>
        <w:t xml:space="preserve">ntitlement </w:t>
      </w:r>
      <w:r w:rsidR="006622C7">
        <w:rPr>
          <w:rFonts w:ascii="Times New Roman" w:hAnsi="Times New Roman" w:cs="Times New Roman"/>
          <w:sz w:val="24"/>
          <w:szCs w:val="24"/>
        </w:rPr>
        <w:t xml:space="preserve">(and/or suspension or restriction of the right to buy and hold </w:t>
      </w:r>
      <w:r w:rsidR="00506E93">
        <w:rPr>
          <w:rFonts w:ascii="Times New Roman" w:hAnsi="Times New Roman" w:cs="Times New Roman"/>
          <w:sz w:val="24"/>
          <w:szCs w:val="24"/>
        </w:rPr>
        <w:t>C</w:t>
      </w:r>
      <w:r w:rsidR="006622C7">
        <w:rPr>
          <w:rFonts w:ascii="Times New Roman" w:hAnsi="Times New Roman" w:cs="Times New Roman"/>
          <w:sz w:val="24"/>
          <w:szCs w:val="24"/>
        </w:rPr>
        <w:t xml:space="preserve">atch </w:t>
      </w:r>
      <w:r w:rsidR="00506E93">
        <w:rPr>
          <w:rFonts w:ascii="Times New Roman" w:hAnsi="Times New Roman" w:cs="Times New Roman"/>
          <w:sz w:val="24"/>
          <w:szCs w:val="24"/>
        </w:rPr>
        <w:t>E</w:t>
      </w:r>
      <w:r w:rsidR="006622C7">
        <w:rPr>
          <w:rFonts w:ascii="Times New Roman" w:hAnsi="Times New Roman" w:cs="Times New Roman"/>
          <w:sz w:val="24"/>
          <w:szCs w:val="24"/>
        </w:rPr>
        <w:t xml:space="preserve">ntitlement) </w:t>
      </w:r>
      <w:r>
        <w:rPr>
          <w:rFonts w:ascii="Times New Roman" w:hAnsi="Times New Roman" w:cs="Times New Roman"/>
          <w:sz w:val="24"/>
          <w:szCs w:val="24"/>
        </w:rPr>
        <w:t xml:space="preserve">only </w:t>
      </w:r>
      <w:r w:rsidR="00D508A1">
        <w:rPr>
          <w:rFonts w:ascii="Times New Roman" w:hAnsi="Times New Roman" w:cs="Times New Roman"/>
          <w:sz w:val="24"/>
          <w:szCs w:val="24"/>
        </w:rPr>
        <w:t xml:space="preserve">where there </w:t>
      </w:r>
      <w:r w:rsidR="00506E93">
        <w:rPr>
          <w:rFonts w:ascii="Times New Roman" w:hAnsi="Times New Roman" w:cs="Times New Roman"/>
          <w:sz w:val="24"/>
          <w:szCs w:val="24"/>
        </w:rPr>
        <w:t xml:space="preserve">have </w:t>
      </w:r>
      <w:r w:rsidR="00D508A1">
        <w:rPr>
          <w:rFonts w:ascii="Times New Roman" w:hAnsi="Times New Roman" w:cs="Times New Roman"/>
          <w:sz w:val="24"/>
          <w:szCs w:val="24"/>
        </w:rPr>
        <w:t>been repeated breaches</w:t>
      </w:r>
      <w:r>
        <w:rPr>
          <w:rFonts w:ascii="Times New Roman" w:hAnsi="Times New Roman" w:cs="Times New Roman"/>
          <w:sz w:val="24"/>
          <w:szCs w:val="24"/>
        </w:rPr>
        <w:t xml:space="preserve"> </w:t>
      </w:r>
      <w:r w:rsidR="00EE5999">
        <w:rPr>
          <w:rFonts w:ascii="Times New Roman" w:hAnsi="Times New Roman" w:cs="Times New Roman"/>
          <w:sz w:val="24"/>
          <w:szCs w:val="24"/>
        </w:rPr>
        <w:t xml:space="preserve">of </w:t>
      </w:r>
      <w:r w:rsidR="00F77D09">
        <w:rPr>
          <w:rFonts w:ascii="Times New Roman" w:hAnsi="Times New Roman" w:cs="Times New Roman"/>
          <w:sz w:val="24"/>
          <w:szCs w:val="24"/>
        </w:rPr>
        <w:t>significant severity indicating an ongoing lack of commitment to the action plan</w:t>
      </w:r>
      <w:r>
        <w:rPr>
          <w:rFonts w:ascii="Times New Roman" w:hAnsi="Times New Roman" w:cs="Times New Roman"/>
          <w:sz w:val="24"/>
          <w:szCs w:val="24"/>
        </w:rPr>
        <w:t xml:space="preserve"> </w:t>
      </w:r>
    </w:p>
    <w:p w14:paraId="57664E82" w14:textId="3819388C" w:rsidR="000F7FDC" w:rsidRDefault="006622C7" w:rsidP="006622C7">
      <w:pPr>
        <w:rPr>
          <w:rFonts w:ascii="Times New Roman" w:hAnsi="Times New Roman" w:cs="Times New Roman"/>
          <w:sz w:val="24"/>
          <w:szCs w:val="24"/>
        </w:rPr>
      </w:pPr>
      <w:r>
        <w:rPr>
          <w:rFonts w:ascii="Times New Roman" w:hAnsi="Times New Roman" w:cs="Times New Roman"/>
          <w:sz w:val="24"/>
          <w:szCs w:val="24"/>
        </w:rPr>
        <w:t xml:space="preserve">For shortfalls against the transhipment obligations, </w:t>
      </w:r>
      <w:r w:rsidR="000F7FDC">
        <w:rPr>
          <w:rFonts w:ascii="Times New Roman" w:hAnsi="Times New Roman" w:cs="Times New Roman"/>
          <w:sz w:val="24"/>
          <w:szCs w:val="24"/>
        </w:rPr>
        <w:t>penalties will depend on the scale of the shortfall, and whether there has been a shortfall in successive years (see table below).</w:t>
      </w:r>
      <w:r w:rsidR="0068183B" w:rsidRPr="0068183B">
        <w:rPr>
          <w:rFonts w:ascii="Times New Roman" w:hAnsi="Times New Roman" w:cs="Times New Roman"/>
          <w:sz w:val="24"/>
          <w:szCs w:val="24"/>
        </w:rPr>
        <w:t xml:space="preserve"> </w:t>
      </w:r>
    </w:p>
    <w:p w14:paraId="64A94320" w14:textId="6DDDC2E5" w:rsidR="006622C7" w:rsidRDefault="000F7FDC" w:rsidP="006622C7">
      <w:pPr>
        <w:rPr>
          <w:rFonts w:ascii="Times New Roman" w:hAnsi="Times New Roman" w:cs="Times New Roman"/>
          <w:sz w:val="24"/>
          <w:szCs w:val="24"/>
        </w:rPr>
      </w:pPr>
      <w:r>
        <w:rPr>
          <w:rFonts w:ascii="Times New Roman" w:hAnsi="Times New Roman" w:cs="Times New Roman"/>
          <w:sz w:val="24"/>
          <w:szCs w:val="24"/>
        </w:rPr>
        <w:t>O</w:t>
      </w:r>
      <w:r w:rsidR="006622C7">
        <w:rPr>
          <w:rFonts w:ascii="Times New Roman" w:hAnsi="Times New Roman" w:cs="Times New Roman"/>
          <w:sz w:val="24"/>
          <w:szCs w:val="24"/>
        </w:rPr>
        <w:t xml:space="preserve">nly a very significant shortfall (where a company had fallen short by more than 20% of the </w:t>
      </w:r>
      <w:r w:rsidR="00506E93">
        <w:rPr>
          <w:rFonts w:ascii="Times New Roman" w:hAnsi="Times New Roman" w:cs="Times New Roman"/>
          <w:sz w:val="24"/>
          <w:szCs w:val="24"/>
        </w:rPr>
        <w:t>A</w:t>
      </w:r>
      <w:r w:rsidR="006622C7">
        <w:rPr>
          <w:rFonts w:ascii="Times New Roman" w:hAnsi="Times New Roman" w:cs="Times New Roman"/>
          <w:sz w:val="24"/>
          <w:szCs w:val="24"/>
        </w:rPr>
        <w:t xml:space="preserve">vailable </w:t>
      </w:r>
      <w:r w:rsidR="00506E93">
        <w:rPr>
          <w:rFonts w:ascii="Times New Roman" w:hAnsi="Times New Roman" w:cs="Times New Roman"/>
          <w:sz w:val="24"/>
          <w:szCs w:val="24"/>
        </w:rPr>
        <w:t>P</w:t>
      </w:r>
      <w:r>
        <w:rPr>
          <w:rFonts w:ascii="Times New Roman" w:hAnsi="Times New Roman" w:cs="Times New Roman"/>
          <w:sz w:val="24"/>
          <w:szCs w:val="24"/>
        </w:rPr>
        <w:t>r</w:t>
      </w:r>
      <w:r w:rsidR="006622C7">
        <w:rPr>
          <w:rFonts w:ascii="Times New Roman" w:hAnsi="Times New Roman" w:cs="Times New Roman"/>
          <w:sz w:val="24"/>
          <w:szCs w:val="24"/>
        </w:rPr>
        <w:t xml:space="preserve">oduct, meaning they had met less </w:t>
      </w:r>
      <w:r>
        <w:rPr>
          <w:rFonts w:ascii="Times New Roman" w:hAnsi="Times New Roman" w:cs="Times New Roman"/>
          <w:sz w:val="24"/>
          <w:szCs w:val="24"/>
        </w:rPr>
        <w:t>t</w:t>
      </w:r>
      <w:r w:rsidR="006622C7">
        <w:rPr>
          <w:rFonts w:ascii="Times New Roman" w:hAnsi="Times New Roman" w:cs="Times New Roman"/>
          <w:sz w:val="24"/>
          <w:szCs w:val="24"/>
        </w:rPr>
        <w:t>han one third of their obligation) would result in an immediate penalty.</w:t>
      </w:r>
    </w:p>
    <w:p w14:paraId="71FDBA6D" w14:textId="18307CFE" w:rsidR="006622C7" w:rsidRPr="002657DF" w:rsidRDefault="000F7FDC" w:rsidP="002657DF">
      <w:pPr>
        <w:rPr>
          <w:rFonts w:ascii="Times New Roman" w:hAnsi="Times New Roman" w:cs="Times New Roman"/>
          <w:sz w:val="24"/>
          <w:szCs w:val="24"/>
        </w:rPr>
      </w:pPr>
      <w:r>
        <w:rPr>
          <w:rFonts w:ascii="Times New Roman" w:hAnsi="Times New Roman" w:cs="Times New Roman"/>
          <w:sz w:val="24"/>
          <w:szCs w:val="24"/>
        </w:rPr>
        <w:t>The size of the shortfall in metric tonnes will be measured against the company’s target for the year</w:t>
      </w:r>
      <w:r w:rsidR="009E52E6">
        <w:rPr>
          <w:rFonts w:ascii="Times New Roman" w:hAnsi="Times New Roman" w:cs="Times New Roman"/>
          <w:sz w:val="24"/>
          <w:szCs w:val="24"/>
        </w:rPr>
        <w:t>. That target</w:t>
      </w:r>
      <w:r>
        <w:rPr>
          <w:rFonts w:ascii="Times New Roman" w:hAnsi="Times New Roman" w:cs="Times New Roman"/>
          <w:sz w:val="24"/>
          <w:szCs w:val="24"/>
        </w:rPr>
        <w:t xml:space="preserve"> may have been revised upwards to include any carry over from previous years. </w:t>
      </w:r>
      <w:r w:rsidR="009E52E6">
        <w:rPr>
          <w:rFonts w:ascii="Times New Roman" w:hAnsi="Times New Roman" w:cs="Times New Roman"/>
          <w:sz w:val="24"/>
          <w:szCs w:val="24"/>
        </w:rPr>
        <w:t>In assessing t</w:t>
      </w:r>
      <w:r>
        <w:rPr>
          <w:rFonts w:ascii="Times New Roman" w:hAnsi="Times New Roman" w:cs="Times New Roman"/>
          <w:sz w:val="24"/>
          <w:szCs w:val="24"/>
        </w:rPr>
        <w:t>he percentage shortfall</w:t>
      </w:r>
      <w:r w:rsidR="009E52E6">
        <w:rPr>
          <w:rFonts w:ascii="Times New Roman" w:hAnsi="Times New Roman" w:cs="Times New Roman"/>
          <w:sz w:val="24"/>
          <w:szCs w:val="24"/>
        </w:rPr>
        <w:t>, the denominator for the calculation</w:t>
      </w:r>
      <w:r w:rsidR="00B82614">
        <w:rPr>
          <w:rFonts w:ascii="Times New Roman" w:hAnsi="Times New Roman" w:cs="Times New Roman"/>
          <w:sz w:val="24"/>
          <w:szCs w:val="24"/>
        </w:rPr>
        <w:t xml:space="preserve"> </w:t>
      </w:r>
      <w:r>
        <w:rPr>
          <w:rFonts w:ascii="Times New Roman" w:hAnsi="Times New Roman" w:cs="Times New Roman"/>
          <w:sz w:val="24"/>
          <w:szCs w:val="24"/>
        </w:rPr>
        <w:t xml:space="preserve">will be assessed based on the company’s own </w:t>
      </w:r>
      <w:r w:rsidR="00506E93">
        <w:rPr>
          <w:rFonts w:ascii="Times New Roman" w:hAnsi="Times New Roman" w:cs="Times New Roman"/>
          <w:sz w:val="24"/>
          <w:szCs w:val="24"/>
        </w:rPr>
        <w:t>A</w:t>
      </w:r>
      <w:r>
        <w:rPr>
          <w:rFonts w:ascii="Times New Roman" w:hAnsi="Times New Roman" w:cs="Times New Roman"/>
          <w:sz w:val="24"/>
          <w:szCs w:val="24"/>
        </w:rPr>
        <w:t xml:space="preserve">vailable </w:t>
      </w:r>
      <w:r w:rsidR="00506E93">
        <w:rPr>
          <w:rFonts w:ascii="Times New Roman" w:hAnsi="Times New Roman" w:cs="Times New Roman"/>
          <w:sz w:val="24"/>
          <w:szCs w:val="24"/>
        </w:rPr>
        <w:t>P</w:t>
      </w:r>
      <w:r>
        <w:rPr>
          <w:rFonts w:ascii="Times New Roman" w:hAnsi="Times New Roman" w:cs="Times New Roman"/>
          <w:sz w:val="24"/>
          <w:szCs w:val="24"/>
        </w:rPr>
        <w:t>roduct figure for that year</w:t>
      </w:r>
      <w:r w:rsidR="0013174E">
        <w:rPr>
          <w:rFonts w:ascii="Times New Roman" w:hAnsi="Times New Roman" w:cs="Times New Roman"/>
          <w:sz w:val="24"/>
          <w:szCs w:val="24"/>
        </w:rPr>
        <w:t xml:space="preserve">, which is not </w:t>
      </w:r>
      <w:r w:rsidR="009E52E6">
        <w:rPr>
          <w:rFonts w:ascii="Times New Roman" w:hAnsi="Times New Roman" w:cs="Times New Roman"/>
          <w:sz w:val="24"/>
          <w:szCs w:val="24"/>
        </w:rPr>
        <w:t>affected by any</w:t>
      </w:r>
      <w:r w:rsidR="00FD3FCC">
        <w:rPr>
          <w:rFonts w:ascii="Times New Roman" w:hAnsi="Times New Roman" w:cs="Times New Roman"/>
          <w:sz w:val="24"/>
          <w:szCs w:val="24"/>
        </w:rPr>
        <w:t xml:space="preserve"> trade</w:t>
      </w:r>
      <w:r w:rsidR="009E52E6">
        <w:rPr>
          <w:rFonts w:ascii="Times New Roman" w:hAnsi="Times New Roman" w:cs="Times New Roman"/>
          <w:sz w:val="24"/>
          <w:szCs w:val="24"/>
        </w:rPr>
        <w:t xml:space="preserve"> of transhipment obligation</w:t>
      </w:r>
      <w:r w:rsidR="00EA5991">
        <w:rPr>
          <w:rFonts w:ascii="Times New Roman" w:hAnsi="Times New Roman" w:cs="Times New Roman"/>
          <w:sz w:val="24"/>
          <w:szCs w:val="24"/>
        </w:rPr>
        <w:t>s</w:t>
      </w:r>
      <w:r w:rsidR="009E52E6">
        <w:rPr>
          <w:rFonts w:ascii="Times New Roman" w:hAnsi="Times New Roman" w:cs="Times New Roman"/>
          <w:sz w:val="24"/>
          <w:szCs w:val="24"/>
        </w:rPr>
        <w:t xml:space="preserve"> or </w:t>
      </w:r>
      <w:r w:rsidR="00FD3FCC">
        <w:rPr>
          <w:rFonts w:ascii="Times New Roman" w:hAnsi="Times New Roman" w:cs="Times New Roman"/>
          <w:sz w:val="24"/>
          <w:szCs w:val="24"/>
        </w:rPr>
        <w:t>carr</w:t>
      </w:r>
      <w:r w:rsidR="009E52E6">
        <w:rPr>
          <w:rFonts w:ascii="Times New Roman" w:hAnsi="Times New Roman" w:cs="Times New Roman"/>
          <w:sz w:val="24"/>
          <w:szCs w:val="24"/>
        </w:rPr>
        <w:t>y</w:t>
      </w:r>
      <w:r w:rsidR="00FD3FCC">
        <w:rPr>
          <w:rFonts w:ascii="Times New Roman" w:hAnsi="Times New Roman" w:cs="Times New Roman"/>
          <w:sz w:val="24"/>
          <w:szCs w:val="24"/>
        </w:rPr>
        <w:t xml:space="preserve"> over</w:t>
      </w:r>
      <w:r w:rsidR="009E52E6">
        <w:rPr>
          <w:rFonts w:ascii="Times New Roman" w:hAnsi="Times New Roman" w:cs="Times New Roman"/>
          <w:sz w:val="24"/>
          <w:szCs w:val="24"/>
        </w:rPr>
        <w:t xml:space="preserve"> from previous years</w:t>
      </w:r>
      <w:r>
        <w:rPr>
          <w:rFonts w:ascii="Times New Roman" w:hAnsi="Times New Roman" w:cs="Times New Roman"/>
          <w:sz w:val="24"/>
          <w:szCs w:val="24"/>
        </w:rPr>
        <w:t>.</w:t>
      </w:r>
    </w:p>
    <w:p w14:paraId="282E37A6" w14:textId="24CC646C" w:rsidR="006622C7" w:rsidRDefault="000324B2">
      <w:pPr>
        <w:rPr>
          <w:rFonts w:ascii="Times New Roman" w:hAnsi="Times New Roman" w:cs="Times New Roman"/>
          <w:sz w:val="24"/>
          <w:szCs w:val="24"/>
        </w:rPr>
      </w:pPr>
      <w:r>
        <w:rPr>
          <w:rFonts w:ascii="Times New Roman" w:hAnsi="Times New Roman" w:cs="Times New Roman"/>
          <w:sz w:val="24"/>
          <w:szCs w:val="24"/>
        </w:rPr>
        <w:t>For the other targets, penalties will only be imposed in circumstances where:</w:t>
      </w:r>
    </w:p>
    <w:p w14:paraId="032B7B4F" w14:textId="77777777" w:rsidR="00DA15DC" w:rsidRDefault="000324B2" w:rsidP="000324B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there is no or negligible engagement with the </w:t>
      </w:r>
      <w:r w:rsidR="00DA15DC">
        <w:rPr>
          <w:rFonts w:ascii="Times New Roman" w:hAnsi="Times New Roman" w:cs="Times New Roman"/>
          <w:sz w:val="24"/>
          <w:szCs w:val="24"/>
        </w:rPr>
        <w:t xml:space="preserve">overall </w:t>
      </w:r>
      <w:r>
        <w:rPr>
          <w:rFonts w:ascii="Times New Roman" w:hAnsi="Times New Roman" w:cs="Times New Roman"/>
          <w:sz w:val="24"/>
          <w:szCs w:val="24"/>
        </w:rPr>
        <w:t>FIG-FIFCA Accord</w:t>
      </w:r>
      <w:r w:rsidR="00DA15DC">
        <w:rPr>
          <w:rFonts w:ascii="Times New Roman" w:hAnsi="Times New Roman" w:cs="Times New Roman"/>
          <w:sz w:val="24"/>
          <w:szCs w:val="24"/>
        </w:rPr>
        <w:t xml:space="preserve"> action plan</w:t>
      </w:r>
    </w:p>
    <w:p w14:paraId="0EFB6D9C" w14:textId="57097DCE" w:rsidR="00DA15DC" w:rsidRDefault="00DA15DC" w:rsidP="000324B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there has been </w:t>
      </w:r>
      <w:r w:rsidR="009E52E6">
        <w:rPr>
          <w:rFonts w:ascii="Times New Roman" w:hAnsi="Times New Roman" w:cs="Times New Roman"/>
          <w:sz w:val="24"/>
          <w:szCs w:val="24"/>
        </w:rPr>
        <w:t>a significant or repeated shortfall in the company’s</w:t>
      </w:r>
      <w:r>
        <w:rPr>
          <w:rFonts w:ascii="Times New Roman" w:hAnsi="Times New Roman" w:cs="Times New Roman"/>
          <w:sz w:val="24"/>
          <w:szCs w:val="24"/>
        </w:rPr>
        <w:t xml:space="preserve"> contribution to the FI</w:t>
      </w:r>
      <w:r w:rsidR="0088679A">
        <w:rPr>
          <w:rFonts w:ascii="Times New Roman" w:hAnsi="Times New Roman" w:cs="Times New Roman"/>
          <w:sz w:val="24"/>
          <w:szCs w:val="24"/>
        </w:rPr>
        <w:t>F</w:t>
      </w:r>
      <w:r>
        <w:rPr>
          <w:rFonts w:ascii="Times New Roman" w:hAnsi="Times New Roman" w:cs="Times New Roman"/>
          <w:sz w:val="24"/>
          <w:szCs w:val="24"/>
        </w:rPr>
        <w:t xml:space="preserve">CA </w:t>
      </w:r>
      <w:r w:rsidR="00D22D52">
        <w:rPr>
          <w:rFonts w:ascii="Times New Roman" w:hAnsi="Times New Roman" w:cs="Times New Roman"/>
          <w:sz w:val="24"/>
          <w:szCs w:val="24"/>
        </w:rPr>
        <w:t>C</w:t>
      </w:r>
      <w:r>
        <w:rPr>
          <w:rFonts w:ascii="Times New Roman" w:hAnsi="Times New Roman" w:cs="Times New Roman"/>
          <w:sz w:val="24"/>
          <w:szCs w:val="24"/>
        </w:rPr>
        <w:t xml:space="preserve">ommunity </w:t>
      </w:r>
      <w:r w:rsidR="00D22D52">
        <w:rPr>
          <w:rFonts w:ascii="Times New Roman" w:hAnsi="Times New Roman" w:cs="Times New Roman"/>
          <w:sz w:val="24"/>
          <w:szCs w:val="24"/>
        </w:rPr>
        <w:t>F</w:t>
      </w:r>
      <w:r>
        <w:rPr>
          <w:rFonts w:ascii="Times New Roman" w:hAnsi="Times New Roman" w:cs="Times New Roman"/>
          <w:sz w:val="24"/>
          <w:szCs w:val="24"/>
        </w:rPr>
        <w:t>und or equivalent</w:t>
      </w:r>
    </w:p>
    <w:p w14:paraId="3D604EB0" w14:textId="7CEFA40A" w:rsidR="000324B2" w:rsidRPr="002657DF" w:rsidRDefault="00DA15DC" w:rsidP="002657D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there has been no</w:t>
      </w:r>
      <w:r w:rsidR="009E52E6">
        <w:rPr>
          <w:rFonts w:ascii="Times New Roman" w:hAnsi="Times New Roman" w:cs="Times New Roman"/>
          <w:sz w:val="24"/>
          <w:szCs w:val="24"/>
        </w:rPr>
        <w:t>,</w:t>
      </w:r>
      <w:r>
        <w:rPr>
          <w:rFonts w:ascii="Times New Roman" w:hAnsi="Times New Roman" w:cs="Times New Roman"/>
          <w:sz w:val="24"/>
          <w:szCs w:val="24"/>
        </w:rPr>
        <w:t xml:space="preserve"> </w:t>
      </w:r>
      <w:r w:rsidR="009E52E6">
        <w:rPr>
          <w:rFonts w:ascii="Times New Roman" w:hAnsi="Times New Roman" w:cs="Times New Roman"/>
          <w:sz w:val="24"/>
          <w:szCs w:val="24"/>
        </w:rPr>
        <w:t xml:space="preserve">or a negligible amount of, </w:t>
      </w:r>
      <w:r>
        <w:rPr>
          <w:rFonts w:ascii="Times New Roman" w:hAnsi="Times New Roman" w:cs="Times New Roman"/>
          <w:sz w:val="24"/>
          <w:szCs w:val="24"/>
        </w:rPr>
        <w:t>meaningful information provided about local content.</w:t>
      </w:r>
      <w:r w:rsidR="00B82614">
        <w:rPr>
          <w:rFonts w:ascii="Times New Roman" w:hAnsi="Times New Roman" w:cs="Times New Roman"/>
          <w:sz w:val="24"/>
          <w:szCs w:val="24"/>
        </w:rPr>
        <w:t xml:space="preserve"> </w:t>
      </w:r>
    </w:p>
    <w:p w14:paraId="16736AF5" w14:textId="77777777" w:rsidR="006268ED" w:rsidRDefault="006268ED">
      <w:pPr>
        <w:rPr>
          <w:rFonts w:ascii="Times New Roman" w:hAnsi="Times New Roman" w:cs="Times New Roman"/>
          <w:bCs/>
          <w:i/>
          <w:sz w:val="24"/>
          <w:szCs w:val="24"/>
        </w:rPr>
      </w:pPr>
      <w:r>
        <w:rPr>
          <w:rFonts w:ascii="Times New Roman" w:hAnsi="Times New Roman" w:cs="Times New Roman"/>
          <w:bCs/>
          <w:i/>
          <w:sz w:val="24"/>
          <w:szCs w:val="24"/>
        </w:rPr>
        <w:br w:type="page"/>
      </w:r>
    </w:p>
    <w:p w14:paraId="3A41E587" w14:textId="08E6B9D2" w:rsidR="00151E68" w:rsidRPr="00D65F6F" w:rsidRDefault="002657DF">
      <w:pPr>
        <w:rPr>
          <w:rFonts w:ascii="Times New Roman" w:hAnsi="Times New Roman" w:cs="Times New Roman"/>
          <w:b/>
          <w:i/>
          <w:sz w:val="24"/>
          <w:szCs w:val="24"/>
        </w:rPr>
      </w:pPr>
      <w:r w:rsidRPr="00D65F6F">
        <w:rPr>
          <w:rFonts w:ascii="Times New Roman" w:hAnsi="Times New Roman" w:cs="Times New Roman"/>
          <w:b/>
          <w:i/>
          <w:sz w:val="24"/>
          <w:szCs w:val="24"/>
        </w:rPr>
        <w:lastRenderedPageBreak/>
        <w:t>Table of i</w:t>
      </w:r>
      <w:r w:rsidR="00151E68" w:rsidRPr="00D65F6F">
        <w:rPr>
          <w:rFonts w:ascii="Times New Roman" w:hAnsi="Times New Roman" w:cs="Times New Roman"/>
          <w:b/>
          <w:i/>
          <w:sz w:val="24"/>
          <w:szCs w:val="24"/>
        </w:rPr>
        <w:t>ndicative penalties</w:t>
      </w:r>
    </w:p>
    <w:tbl>
      <w:tblPr>
        <w:tblStyle w:val="TableGrid"/>
        <w:tblW w:w="0" w:type="auto"/>
        <w:tblLook w:val="04A0" w:firstRow="1" w:lastRow="0" w:firstColumn="1" w:lastColumn="0" w:noHBand="0" w:noVBand="1"/>
      </w:tblPr>
      <w:tblGrid>
        <w:gridCol w:w="2267"/>
        <w:gridCol w:w="2249"/>
        <w:gridCol w:w="2249"/>
        <w:gridCol w:w="2251"/>
      </w:tblGrid>
      <w:tr w:rsidR="00485289" w:rsidRPr="00485289" w14:paraId="519DBF75" w14:textId="77777777" w:rsidTr="006268ED">
        <w:trPr>
          <w:trHeight w:val="351"/>
        </w:trPr>
        <w:tc>
          <w:tcPr>
            <w:tcW w:w="2267" w:type="dxa"/>
          </w:tcPr>
          <w:p w14:paraId="383AB0E5" w14:textId="17883ADB" w:rsidR="00485289" w:rsidRPr="00485289" w:rsidRDefault="00485289">
            <w:pPr>
              <w:rPr>
                <w:rFonts w:ascii="Times New Roman" w:hAnsi="Times New Roman" w:cs="Times New Roman"/>
                <w:b/>
                <w:bCs/>
                <w:sz w:val="24"/>
                <w:szCs w:val="24"/>
              </w:rPr>
            </w:pPr>
            <w:r w:rsidRPr="00485289">
              <w:rPr>
                <w:rFonts w:ascii="Times New Roman" w:hAnsi="Times New Roman" w:cs="Times New Roman"/>
                <w:b/>
                <w:bCs/>
                <w:sz w:val="24"/>
                <w:szCs w:val="24"/>
              </w:rPr>
              <w:t>Breach</w:t>
            </w:r>
          </w:p>
        </w:tc>
        <w:tc>
          <w:tcPr>
            <w:tcW w:w="2249" w:type="dxa"/>
          </w:tcPr>
          <w:p w14:paraId="3EA10813" w14:textId="237FEFC3" w:rsidR="00485289" w:rsidRPr="00485289" w:rsidRDefault="00485289">
            <w:pPr>
              <w:rPr>
                <w:rFonts w:ascii="Times New Roman" w:hAnsi="Times New Roman" w:cs="Times New Roman"/>
                <w:b/>
                <w:bCs/>
                <w:sz w:val="24"/>
                <w:szCs w:val="24"/>
              </w:rPr>
            </w:pPr>
            <w:r w:rsidRPr="00485289">
              <w:rPr>
                <w:rFonts w:ascii="Times New Roman" w:hAnsi="Times New Roman" w:cs="Times New Roman"/>
                <w:b/>
                <w:bCs/>
                <w:sz w:val="24"/>
                <w:szCs w:val="24"/>
              </w:rPr>
              <w:t>First breach</w:t>
            </w:r>
          </w:p>
        </w:tc>
        <w:tc>
          <w:tcPr>
            <w:tcW w:w="2249" w:type="dxa"/>
          </w:tcPr>
          <w:p w14:paraId="42BF944C" w14:textId="4CEBECEE" w:rsidR="00485289" w:rsidRPr="00485289" w:rsidRDefault="00485289">
            <w:pPr>
              <w:rPr>
                <w:rFonts w:ascii="Times New Roman" w:hAnsi="Times New Roman" w:cs="Times New Roman"/>
                <w:b/>
                <w:bCs/>
                <w:sz w:val="24"/>
                <w:szCs w:val="24"/>
              </w:rPr>
            </w:pPr>
            <w:r w:rsidRPr="00485289">
              <w:rPr>
                <w:rFonts w:ascii="Times New Roman" w:hAnsi="Times New Roman" w:cs="Times New Roman"/>
                <w:b/>
                <w:bCs/>
                <w:sz w:val="24"/>
                <w:szCs w:val="24"/>
              </w:rPr>
              <w:t>Second breach</w:t>
            </w:r>
          </w:p>
        </w:tc>
        <w:tc>
          <w:tcPr>
            <w:tcW w:w="2251" w:type="dxa"/>
          </w:tcPr>
          <w:p w14:paraId="4AA907D1" w14:textId="1E710493" w:rsidR="00485289" w:rsidRPr="00485289" w:rsidRDefault="00485289">
            <w:pPr>
              <w:rPr>
                <w:rFonts w:ascii="Times New Roman" w:hAnsi="Times New Roman" w:cs="Times New Roman"/>
                <w:b/>
                <w:bCs/>
                <w:sz w:val="24"/>
                <w:szCs w:val="24"/>
              </w:rPr>
            </w:pPr>
            <w:r w:rsidRPr="00485289">
              <w:rPr>
                <w:rFonts w:ascii="Times New Roman" w:hAnsi="Times New Roman" w:cs="Times New Roman"/>
                <w:b/>
                <w:bCs/>
                <w:sz w:val="24"/>
                <w:szCs w:val="24"/>
              </w:rPr>
              <w:t>Further breaches</w:t>
            </w:r>
          </w:p>
        </w:tc>
      </w:tr>
      <w:tr w:rsidR="00485289" w14:paraId="0A24809D" w14:textId="77777777" w:rsidTr="006268ED">
        <w:trPr>
          <w:trHeight w:val="922"/>
        </w:trPr>
        <w:tc>
          <w:tcPr>
            <w:tcW w:w="2267" w:type="dxa"/>
          </w:tcPr>
          <w:p w14:paraId="5484CC94" w14:textId="77777777" w:rsidR="00485289" w:rsidRDefault="00485289">
            <w:pPr>
              <w:rPr>
                <w:rFonts w:ascii="Times New Roman" w:hAnsi="Times New Roman" w:cs="Times New Roman"/>
                <w:sz w:val="24"/>
                <w:szCs w:val="24"/>
              </w:rPr>
            </w:pPr>
            <w:r>
              <w:rPr>
                <w:rFonts w:ascii="Times New Roman" w:hAnsi="Times New Roman" w:cs="Times New Roman"/>
                <w:sz w:val="24"/>
                <w:szCs w:val="24"/>
              </w:rPr>
              <w:t>Minor shortfall on transhipment (&lt;</w:t>
            </w:r>
            <w:r w:rsidR="008A5F16">
              <w:rPr>
                <w:rFonts w:ascii="Times New Roman" w:hAnsi="Times New Roman" w:cs="Times New Roman"/>
                <w:sz w:val="24"/>
                <w:szCs w:val="24"/>
              </w:rPr>
              <w:t>1</w:t>
            </w:r>
            <w:r>
              <w:rPr>
                <w:rFonts w:ascii="Times New Roman" w:hAnsi="Times New Roman" w:cs="Times New Roman"/>
                <w:sz w:val="24"/>
                <w:szCs w:val="24"/>
              </w:rPr>
              <w:t>0%</w:t>
            </w:r>
            <w:r w:rsidR="008A5F16">
              <w:rPr>
                <w:rFonts w:ascii="Times New Roman" w:hAnsi="Times New Roman" w:cs="Times New Roman"/>
                <w:sz w:val="24"/>
                <w:szCs w:val="24"/>
              </w:rPr>
              <w:t xml:space="preserve"> of available product</w:t>
            </w:r>
            <w:r>
              <w:rPr>
                <w:rFonts w:ascii="Times New Roman" w:hAnsi="Times New Roman" w:cs="Times New Roman"/>
                <w:sz w:val="24"/>
                <w:szCs w:val="24"/>
              </w:rPr>
              <w:t>)</w:t>
            </w:r>
          </w:p>
          <w:p w14:paraId="2BC6BFE0" w14:textId="44679325" w:rsidR="006268ED" w:rsidRDefault="006268ED">
            <w:pPr>
              <w:rPr>
                <w:rFonts w:ascii="Times New Roman" w:hAnsi="Times New Roman" w:cs="Times New Roman"/>
                <w:sz w:val="24"/>
                <w:szCs w:val="24"/>
              </w:rPr>
            </w:pPr>
          </w:p>
        </w:tc>
        <w:tc>
          <w:tcPr>
            <w:tcW w:w="2249" w:type="dxa"/>
          </w:tcPr>
          <w:p w14:paraId="02BBBC16" w14:textId="222C1EE8" w:rsidR="00485289" w:rsidRDefault="00485289">
            <w:pPr>
              <w:rPr>
                <w:rFonts w:ascii="Times New Roman" w:hAnsi="Times New Roman" w:cs="Times New Roman"/>
                <w:sz w:val="24"/>
                <w:szCs w:val="24"/>
              </w:rPr>
            </w:pPr>
            <w:r>
              <w:rPr>
                <w:rFonts w:ascii="Times New Roman" w:hAnsi="Times New Roman" w:cs="Times New Roman"/>
                <w:sz w:val="24"/>
                <w:szCs w:val="24"/>
              </w:rPr>
              <w:t>No penalty</w:t>
            </w:r>
            <w:r w:rsidR="00A53BFC">
              <w:rPr>
                <w:rFonts w:ascii="Times New Roman" w:hAnsi="Times New Roman" w:cs="Times New Roman"/>
                <w:sz w:val="24"/>
                <w:szCs w:val="24"/>
              </w:rPr>
              <w:t xml:space="preserve"> – within carry over limit</w:t>
            </w:r>
          </w:p>
        </w:tc>
        <w:tc>
          <w:tcPr>
            <w:tcW w:w="2249" w:type="dxa"/>
          </w:tcPr>
          <w:p w14:paraId="772B44F2" w14:textId="11AA604F" w:rsidR="00485289" w:rsidRDefault="00A53BFC">
            <w:pPr>
              <w:rPr>
                <w:rFonts w:ascii="Times New Roman" w:hAnsi="Times New Roman" w:cs="Times New Roman"/>
                <w:sz w:val="24"/>
                <w:szCs w:val="24"/>
              </w:rPr>
            </w:pPr>
            <w:r>
              <w:rPr>
                <w:rFonts w:ascii="Times New Roman" w:hAnsi="Times New Roman" w:cs="Times New Roman"/>
                <w:sz w:val="24"/>
                <w:szCs w:val="24"/>
              </w:rPr>
              <w:t>No penalty – within carry over limit</w:t>
            </w:r>
          </w:p>
        </w:tc>
        <w:tc>
          <w:tcPr>
            <w:tcW w:w="2251" w:type="dxa"/>
          </w:tcPr>
          <w:p w14:paraId="5200F785" w14:textId="503D68C0" w:rsidR="00485289" w:rsidRDefault="00A53BFC">
            <w:pPr>
              <w:rPr>
                <w:rFonts w:ascii="Times New Roman" w:hAnsi="Times New Roman" w:cs="Times New Roman"/>
                <w:sz w:val="24"/>
                <w:szCs w:val="24"/>
              </w:rPr>
            </w:pPr>
            <w:r>
              <w:rPr>
                <w:rFonts w:ascii="Times New Roman" w:hAnsi="Times New Roman" w:cs="Times New Roman"/>
                <w:sz w:val="24"/>
                <w:szCs w:val="24"/>
              </w:rPr>
              <w:t>No penalty – within carry over limit</w:t>
            </w:r>
          </w:p>
        </w:tc>
      </w:tr>
      <w:tr w:rsidR="00485289" w14:paraId="4115DE38" w14:textId="77777777" w:rsidTr="006268ED">
        <w:trPr>
          <w:trHeight w:val="908"/>
        </w:trPr>
        <w:tc>
          <w:tcPr>
            <w:tcW w:w="2267" w:type="dxa"/>
          </w:tcPr>
          <w:p w14:paraId="47BBC0F8" w14:textId="77777777" w:rsidR="00485289" w:rsidRDefault="00485289">
            <w:pPr>
              <w:rPr>
                <w:rFonts w:ascii="Times New Roman" w:hAnsi="Times New Roman" w:cs="Times New Roman"/>
                <w:sz w:val="24"/>
                <w:szCs w:val="24"/>
              </w:rPr>
            </w:pPr>
            <w:r>
              <w:rPr>
                <w:rFonts w:ascii="Times New Roman" w:hAnsi="Times New Roman" w:cs="Times New Roman"/>
                <w:sz w:val="24"/>
                <w:szCs w:val="24"/>
              </w:rPr>
              <w:t>Significant shortfall on transhipment (&gt;</w:t>
            </w:r>
            <w:r w:rsidR="008A5F16">
              <w:rPr>
                <w:rFonts w:ascii="Times New Roman" w:hAnsi="Times New Roman" w:cs="Times New Roman"/>
                <w:sz w:val="24"/>
                <w:szCs w:val="24"/>
              </w:rPr>
              <w:t>1</w:t>
            </w:r>
            <w:r>
              <w:rPr>
                <w:rFonts w:ascii="Times New Roman" w:hAnsi="Times New Roman" w:cs="Times New Roman"/>
                <w:sz w:val="24"/>
                <w:szCs w:val="24"/>
              </w:rPr>
              <w:t>0%)</w:t>
            </w:r>
          </w:p>
          <w:p w14:paraId="3566AB9A" w14:textId="05A93751" w:rsidR="006268ED" w:rsidRDefault="006268ED">
            <w:pPr>
              <w:rPr>
                <w:rFonts w:ascii="Times New Roman" w:hAnsi="Times New Roman" w:cs="Times New Roman"/>
                <w:sz w:val="24"/>
                <w:szCs w:val="24"/>
              </w:rPr>
            </w:pPr>
          </w:p>
        </w:tc>
        <w:tc>
          <w:tcPr>
            <w:tcW w:w="2249" w:type="dxa"/>
          </w:tcPr>
          <w:p w14:paraId="3ED1FEFF" w14:textId="7BEFC20E" w:rsidR="00485289" w:rsidRDefault="00485289">
            <w:pPr>
              <w:rPr>
                <w:rFonts w:ascii="Times New Roman" w:hAnsi="Times New Roman" w:cs="Times New Roman"/>
                <w:sz w:val="24"/>
                <w:szCs w:val="24"/>
              </w:rPr>
            </w:pPr>
            <w:r>
              <w:rPr>
                <w:rFonts w:ascii="Times New Roman" w:hAnsi="Times New Roman" w:cs="Times New Roman"/>
                <w:sz w:val="24"/>
                <w:szCs w:val="24"/>
              </w:rPr>
              <w:t>Warning letter, revised target for subsequent year</w:t>
            </w:r>
          </w:p>
        </w:tc>
        <w:tc>
          <w:tcPr>
            <w:tcW w:w="2249" w:type="dxa"/>
          </w:tcPr>
          <w:p w14:paraId="1930647D" w14:textId="0BFA4B89" w:rsidR="00485289" w:rsidRDefault="00485289">
            <w:pPr>
              <w:rPr>
                <w:rFonts w:ascii="Times New Roman" w:hAnsi="Times New Roman" w:cs="Times New Roman"/>
                <w:sz w:val="24"/>
                <w:szCs w:val="24"/>
              </w:rPr>
            </w:pPr>
            <w:r>
              <w:rPr>
                <w:rFonts w:ascii="Times New Roman" w:hAnsi="Times New Roman" w:cs="Times New Roman"/>
                <w:sz w:val="24"/>
                <w:szCs w:val="24"/>
              </w:rPr>
              <w:t>Financial penalty – total shortfall x shipping rate</w:t>
            </w:r>
            <w:r w:rsidR="00A53BFC">
              <w:rPr>
                <w:rFonts w:ascii="Times New Roman" w:hAnsi="Times New Roman" w:cs="Times New Roman"/>
                <w:sz w:val="24"/>
                <w:szCs w:val="24"/>
              </w:rPr>
              <w:t xml:space="preserve"> x 50%</w:t>
            </w:r>
          </w:p>
        </w:tc>
        <w:tc>
          <w:tcPr>
            <w:tcW w:w="2251" w:type="dxa"/>
          </w:tcPr>
          <w:p w14:paraId="708BDFCE" w14:textId="1A8FBAC7" w:rsidR="00485289" w:rsidRDefault="00485289">
            <w:pPr>
              <w:rPr>
                <w:rFonts w:ascii="Times New Roman" w:hAnsi="Times New Roman" w:cs="Times New Roman"/>
                <w:sz w:val="24"/>
                <w:szCs w:val="24"/>
              </w:rPr>
            </w:pPr>
            <w:r>
              <w:rPr>
                <w:rFonts w:ascii="Times New Roman" w:hAnsi="Times New Roman" w:cs="Times New Roman"/>
                <w:sz w:val="24"/>
                <w:szCs w:val="24"/>
              </w:rPr>
              <w:t>Financial penalty – total shortfall x shipping rate</w:t>
            </w:r>
          </w:p>
        </w:tc>
      </w:tr>
      <w:tr w:rsidR="00532554" w14:paraId="276CEFF1" w14:textId="77777777" w:rsidTr="002657DF">
        <w:tc>
          <w:tcPr>
            <w:tcW w:w="2267" w:type="dxa"/>
          </w:tcPr>
          <w:p w14:paraId="7263C91A" w14:textId="77777777" w:rsidR="006268ED" w:rsidRDefault="00532554">
            <w:pPr>
              <w:rPr>
                <w:rFonts w:ascii="Times New Roman" w:hAnsi="Times New Roman" w:cs="Times New Roman"/>
                <w:sz w:val="24"/>
                <w:szCs w:val="24"/>
              </w:rPr>
            </w:pPr>
            <w:r>
              <w:rPr>
                <w:rFonts w:ascii="Times New Roman" w:hAnsi="Times New Roman" w:cs="Times New Roman"/>
                <w:sz w:val="24"/>
                <w:szCs w:val="24"/>
              </w:rPr>
              <w:t>Very significant shortfall on transhipment (&gt;</w:t>
            </w:r>
            <w:r w:rsidR="006622C7">
              <w:rPr>
                <w:rFonts w:ascii="Times New Roman" w:hAnsi="Times New Roman" w:cs="Times New Roman"/>
                <w:sz w:val="24"/>
                <w:szCs w:val="24"/>
              </w:rPr>
              <w:t>2</w:t>
            </w:r>
            <w:r>
              <w:rPr>
                <w:rFonts w:ascii="Times New Roman" w:hAnsi="Times New Roman" w:cs="Times New Roman"/>
                <w:sz w:val="24"/>
                <w:szCs w:val="24"/>
              </w:rPr>
              <w:t>0%)</w:t>
            </w:r>
          </w:p>
          <w:p w14:paraId="45063199" w14:textId="596E2A90" w:rsidR="006268ED" w:rsidRDefault="006268ED">
            <w:pPr>
              <w:rPr>
                <w:rFonts w:ascii="Times New Roman" w:hAnsi="Times New Roman" w:cs="Times New Roman"/>
                <w:sz w:val="24"/>
                <w:szCs w:val="24"/>
              </w:rPr>
            </w:pPr>
          </w:p>
        </w:tc>
        <w:tc>
          <w:tcPr>
            <w:tcW w:w="2249" w:type="dxa"/>
          </w:tcPr>
          <w:p w14:paraId="19A9A582" w14:textId="57CCD5E5" w:rsidR="00532554" w:rsidRDefault="00532554">
            <w:pPr>
              <w:rPr>
                <w:rFonts w:ascii="Times New Roman" w:hAnsi="Times New Roman" w:cs="Times New Roman"/>
                <w:sz w:val="24"/>
                <w:szCs w:val="24"/>
              </w:rPr>
            </w:pPr>
            <w:r>
              <w:rPr>
                <w:rFonts w:ascii="Times New Roman" w:hAnsi="Times New Roman" w:cs="Times New Roman"/>
                <w:sz w:val="24"/>
                <w:szCs w:val="24"/>
              </w:rPr>
              <w:t>Financial penalty – total shortfall x shipping rate</w:t>
            </w:r>
            <w:r w:rsidR="00A53BFC">
              <w:rPr>
                <w:rFonts w:ascii="Times New Roman" w:hAnsi="Times New Roman" w:cs="Times New Roman"/>
                <w:sz w:val="24"/>
                <w:szCs w:val="24"/>
              </w:rPr>
              <w:t xml:space="preserve"> x 50%</w:t>
            </w:r>
          </w:p>
        </w:tc>
        <w:tc>
          <w:tcPr>
            <w:tcW w:w="2249" w:type="dxa"/>
          </w:tcPr>
          <w:p w14:paraId="1C3F276C" w14:textId="51B8C9F2" w:rsidR="00532554" w:rsidRDefault="00532554">
            <w:pPr>
              <w:rPr>
                <w:rFonts w:ascii="Times New Roman" w:hAnsi="Times New Roman" w:cs="Times New Roman"/>
                <w:sz w:val="24"/>
                <w:szCs w:val="24"/>
              </w:rPr>
            </w:pPr>
            <w:r>
              <w:rPr>
                <w:rFonts w:ascii="Times New Roman" w:hAnsi="Times New Roman" w:cs="Times New Roman"/>
                <w:sz w:val="24"/>
                <w:szCs w:val="24"/>
              </w:rPr>
              <w:t>Financial penalty – total shortfall x shipping rate</w:t>
            </w:r>
          </w:p>
        </w:tc>
        <w:tc>
          <w:tcPr>
            <w:tcW w:w="2251" w:type="dxa"/>
          </w:tcPr>
          <w:p w14:paraId="3DD820BE" w14:textId="3928224E" w:rsidR="00532554" w:rsidRDefault="00532554">
            <w:pPr>
              <w:rPr>
                <w:rFonts w:ascii="Times New Roman" w:hAnsi="Times New Roman" w:cs="Times New Roman"/>
                <w:sz w:val="24"/>
                <w:szCs w:val="24"/>
              </w:rPr>
            </w:pPr>
            <w:r>
              <w:rPr>
                <w:rFonts w:ascii="Times New Roman" w:hAnsi="Times New Roman" w:cs="Times New Roman"/>
                <w:sz w:val="24"/>
                <w:szCs w:val="24"/>
              </w:rPr>
              <w:t>Financial penalty – total shortfall x shipping rate</w:t>
            </w:r>
          </w:p>
        </w:tc>
      </w:tr>
      <w:tr w:rsidR="00485289" w14:paraId="4D99EFAF" w14:textId="77777777" w:rsidTr="006268ED">
        <w:trPr>
          <w:trHeight w:val="983"/>
        </w:trPr>
        <w:tc>
          <w:tcPr>
            <w:tcW w:w="2267" w:type="dxa"/>
          </w:tcPr>
          <w:p w14:paraId="7EFAD1E6" w14:textId="12D8C1F0" w:rsidR="00485289" w:rsidRDefault="00485289">
            <w:pPr>
              <w:rPr>
                <w:rFonts w:ascii="Times New Roman" w:hAnsi="Times New Roman" w:cs="Times New Roman"/>
                <w:sz w:val="24"/>
                <w:szCs w:val="24"/>
              </w:rPr>
            </w:pPr>
            <w:r>
              <w:rPr>
                <w:rFonts w:ascii="Times New Roman" w:hAnsi="Times New Roman" w:cs="Times New Roman"/>
                <w:sz w:val="24"/>
                <w:szCs w:val="24"/>
              </w:rPr>
              <w:t>Failure to submit adequate reports (local content, FIG-FIFCA action plan, community contribution)</w:t>
            </w:r>
          </w:p>
        </w:tc>
        <w:tc>
          <w:tcPr>
            <w:tcW w:w="2249" w:type="dxa"/>
          </w:tcPr>
          <w:p w14:paraId="7753504C" w14:textId="3EAF161B" w:rsidR="00485289" w:rsidRDefault="00485289">
            <w:pPr>
              <w:rPr>
                <w:rFonts w:ascii="Times New Roman" w:hAnsi="Times New Roman" w:cs="Times New Roman"/>
                <w:sz w:val="24"/>
                <w:szCs w:val="24"/>
              </w:rPr>
            </w:pPr>
            <w:r>
              <w:rPr>
                <w:rFonts w:ascii="Times New Roman" w:hAnsi="Times New Roman" w:cs="Times New Roman"/>
                <w:sz w:val="24"/>
                <w:szCs w:val="24"/>
              </w:rPr>
              <w:t xml:space="preserve">Warning letter with deadline for late submission, followed by </w:t>
            </w:r>
            <w:r w:rsidR="005F1300">
              <w:rPr>
                <w:rFonts w:ascii="Times New Roman" w:hAnsi="Times New Roman" w:cs="Times New Roman"/>
                <w:sz w:val="24"/>
                <w:szCs w:val="24"/>
              </w:rPr>
              <w:t xml:space="preserve">financial penalty of </w:t>
            </w:r>
            <w:r>
              <w:rPr>
                <w:rFonts w:ascii="Times New Roman" w:hAnsi="Times New Roman" w:cs="Times New Roman"/>
                <w:sz w:val="24"/>
                <w:szCs w:val="24"/>
              </w:rPr>
              <w:t>£</w:t>
            </w:r>
            <w:r w:rsidR="00A87D55">
              <w:rPr>
                <w:rFonts w:ascii="Times New Roman" w:hAnsi="Times New Roman" w:cs="Times New Roman"/>
                <w:sz w:val="24"/>
                <w:szCs w:val="24"/>
              </w:rPr>
              <w:t>3</w:t>
            </w:r>
            <w:r>
              <w:rPr>
                <w:rFonts w:ascii="Times New Roman" w:hAnsi="Times New Roman" w:cs="Times New Roman"/>
                <w:sz w:val="24"/>
                <w:szCs w:val="24"/>
              </w:rPr>
              <w:t>,000 if not submitted</w:t>
            </w:r>
          </w:p>
        </w:tc>
        <w:tc>
          <w:tcPr>
            <w:tcW w:w="2249" w:type="dxa"/>
          </w:tcPr>
          <w:p w14:paraId="523C7B9A" w14:textId="554DFC60" w:rsidR="00485289" w:rsidRDefault="005F1300">
            <w:pPr>
              <w:rPr>
                <w:rFonts w:ascii="Times New Roman" w:hAnsi="Times New Roman" w:cs="Times New Roman"/>
                <w:sz w:val="24"/>
                <w:szCs w:val="24"/>
              </w:rPr>
            </w:pPr>
            <w:r>
              <w:rPr>
                <w:rFonts w:ascii="Times New Roman" w:hAnsi="Times New Roman" w:cs="Times New Roman"/>
                <w:sz w:val="24"/>
                <w:szCs w:val="24"/>
              </w:rPr>
              <w:t xml:space="preserve">Financial penalty – </w:t>
            </w:r>
            <w:r w:rsidR="00485289">
              <w:rPr>
                <w:rFonts w:ascii="Times New Roman" w:hAnsi="Times New Roman" w:cs="Times New Roman"/>
                <w:sz w:val="24"/>
                <w:szCs w:val="24"/>
              </w:rPr>
              <w:t>£</w:t>
            </w:r>
            <w:r w:rsidR="00A87D55">
              <w:rPr>
                <w:rFonts w:ascii="Times New Roman" w:hAnsi="Times New Roman" w:cs="Times New Roman"/>
                <w:sz w:val="24"/>
                <w:szCs w:val="24"/>
              </w:rPr>
              <w:t>5</w:t>
            </w:r>
            <w:r w:rsidR="00485289">
              <w:rPr>
                <w:rFonts w:ascii="Times New Roman" w:hAnsi="Times New Roman" w:cs="Times New Roman"/>
                <w:sz w:val="24"/>
                <w:szCs w:val="24"/>
              </w:rPr>
              <w:t xml:space="preserve">,000 </w:t>
            </w:r>
          </w:p>
        </w:tc>
        <w:tc>
          <w:tcPr>
            <w:tcW w:w="2251" w:type="dxa"/>
          </w:tcPr>
          <w:p w14:paraId="60D76429" w14:textId="77777777" w:rsidR="00485289" w:rsidRDefault="005F1300">
            <w:pPr>
              <w:rPr>
                <w:rFonts w:ascii="Times New Roman" w:hAnsi="Times New Roman" w:cs="Times New Roman"/>
                <w:sz w:val="24"/>
                <w:szCs w:val="24"/>
              </w:rPr>
            </w:pPr>
            <w:r>
              <w:rPr>
                <w:rFonts w:ascii="Times New Roman" w:hAnsi="Times New Roman" w:cs="Times New Roman"/>
                <w:sz w:val="24"/>
                <w:szCs w:val="24"/>
              </w:rPr>
              <w:t xml:space="preserve">Financial penalty – </w:t>
            </w:r>
            <w:r w:rsidR="00485289">
              <w:rPr>
                <w:rFonts w:ascii="Times New Roman" w:hAnsi="Times New Roman" w:cs="Times New Roman"/>
                <w:sz w:val="24"/>
                <w:szCs w:val="24"/>
              </w:rPr>
              <w:t>£5,000-£10,000. Level to be determined with reference to degree of persistent and deliberate failure to comply.</w:t>
            </w:r>
          </w:p>
          <w:p w14:paraId="755EB6DB" w14:textId="7926CEC5" w:rsidR="006268ED" w:rsidRDefault="006268ED">
            <w:pPr>
              <w:rPr>
                <w:rFonts w:ascii="Times New Roman" w:hAnsi="Times New Roman" w:cs="Times New Roman"/>
                <w:sz w:val="24"/>
                <w:szCs w:val="24"/>
              </w:rPr>
            </w:pPr>
          </w:p>
        </w:tc>
      </w:tr>
      <w:tr w:rsidR="00485289" w14:paraId="7F578C5C" w14:textId="77777777" w:rsidTr="002657DF">
        <w:tc>
          <w:tcPr>
            <w:tcW w:w="2267" w:type="dxa"/>
          </w:tcPr>
          <w:p w14:paraId="258CFDCB" w14:textId="1D8FC4DE" w:rsidR="00485289" w:rsidRDefault="00485289">
            <w:pPr>
              <w:rPr>
                <w:rFonts w:ascii="Times New Roman" w:hAnsi="Times New Roman" w:cs="Times New Roman"/>
                <w:sz w:val="24"/>
                <w:szCs w:val="24"/>
              </w:rPr>
            </w:pPr>
            <w:r>
              <w:rPr>
                <w:rFonts w:ascii="Times New Roman" w:hAnsi="Times New Roman" w:cs="Times New Roman"/>
                <w:sz w:val="24"/>
                <w:szCs w:val="24"/>
              </w:rPr>
              <w:t>Shortfall on multiple targets</w:t>
            </w:r>
          </w:p>
        </w:tc>
        <w:tc>
          <w:tcPr>
            <w:tcW w:w="2249" w:type="dxa"/>
          </w:tcPr>
          <w:p w14:paraId="2CF119D5" w14:textId="45579577" w:rsidR="00485289" w:rsidRDefault="005F1300">
            <w:pPr>
              <w:rPr>
                <w:rFonts w:ascii="Times New Roman" w:hAnsi="Times New Roman" w:cs="Times New Roman"/>
                <w:sz w:val="24"/>
                <w:szCs w:val="24"/>
              </w:rPr>
            </w:pPr>
            <w:r>
              <w:rPr>
                <w:rFonts w:ascii="Times New Roman" w:hAnsi="Times New Roman" w:cs="Times New Roman"/>
                <w:sz w:val="24"/>
                <w:szCs w:val="24"/>
              </w:rPr>
              <w:t xml:space="preserve">Financial penalty – </w:t>
            </w:r>
            <w:r w:rsidR="00532554">
              <w:rPr>
                <w:rFonts w:ascii="Times New Roman" w:hAnsi="Times New Roman" w:cs="Times New Roman"/>
                <w:sz w:val="24"/>
                <w:szCs w:val="24"/>
              </w:rPr>
              <w:t xml:space="preserve">up to </w:t>
            </w:r>
            <w:r>
              <w:rPr>
                <w:rFonts w:ascii="Times New Roman" w:hAnsi="Times New Roman" w:cs="Times New Roman"/>
                <w:sz w:val="24"/>
                <w:szCs w:val="24"/>
              </w:rPr>
              <w:t>£5,000</w:t>
            </w:r>
            <w:r w:rsidR="00532554">
              <w:rPr>
                <w:rFonts w:ascii="Times New Roman" w:hAnsi="Times New Roman" w:cs="Times New Roman"/>
                <w:sz w:val="24"/>
                <w:szCs w:val="24"/>
              </w:rPr>
              <w:t xml:space="preserve"> or financial gain from non-compliance, whichever is greater</w:t>
            </w:r>
          </w:p>
        </w:tc>
        <w:tc>
          <w:tcPr>
            <w:tcW w:w="2249" w:type="dxa"/>
          </w:tcPr>
          <w:p w14:paraId="3878C5FD" w14:textId="47891B43" w:rsidR="00485289" w:rsidRDefault="005F1300">
            <w:pPr>
              <w:rPr>
                <w:rFonts w:ascii="Times New Roman" w:hAnsi="Times New Roman" w:cs="Times New Roman"/>
                <w:sz w:val="24"/>
                <w:szCs w:val="24"/>
              </w:rPr>
            </w:pPr>
            <w:r>
              <w:rPr>
                <w:rFonts w:ascii="Times New Roman" w:hAnsi="Times New Roman" w:cs="Times New Roman"/>
                <w:sz w:val="24"/>
                <w:szCs w:val="24"/>
              </w:rPr>
              <w:t xml:space="preserve">Financial penalty – </w:t>
            </w:r>
            <w:r w:rsidR="00532554">
              <w:rPr>
                <w:rFonts w:ascii="Times New Roman" w:hAnsi="Times New Roman" w:cs="Times New Roman"/>
                <w:sz w:val="24"/>
                <w:szCs w:val="24"/>
              </w:rPr>
              <w:t xml:space="preserve">up to </w:t>
            </w:r>
            <w:r>
              <w:rPr>
                <w:rFonts w:ascii="Times New Roman" w:hAnsi="Times New Roman" w:cs="Times New Roman"/>
                <w:sz w:val="24"/>
                <w:szCs w:val="24"/>
              </w:rPr>
              <w:t>£10,000</w:t>
            </w:r>
            <w:r w:rsidR="00532554">
              <w:rPr>
                <w:rFonts w:ascii="Times New Roman" w:hAnsi="Times New Roman" w:cs="Times New Roman"/>
                <w:sz w:val="24"/>
                <w:szCs w:val="24"/>
              </w:rPr>
              <w:t xml:space="preserve"> or financial gain from non-compliance, whichever is greater</w:t>
            </w:r>
          </w:p>
        </w:tc>
        <w:tc>
          <w:tcPr>
            <w:tcW w:w="2251" w:type="dxa"/>
          </w:tcPr>
          <w:p w14:paraId="6D783F2C" w14:textId="77777777" w:rsidR="00485289" w:rsidRDefault="005F1300">
            <w:pPr>
              <w:rPr>
                <w:rFonts w:ascii="Times New Roman" w:hAnsi="Times New Roman" w:cs="Times New Roman"/>
                <w:sz w:val="24"/>
                <w:szCs w:val="24"/>
              </w:rPr>
            </w:pPr>
            <w:r>
              <w:rPr>
                <w:rFonts w:ascii="Times New Roman" w:hAnsi="Times New Roman" w:cs="Times New Roman"/>
                <w:sz w:val="24"/>
                <w:szCs w:val="24"/>
              </w:rPr>
              <w:t>Financial penalty – £10,000+</w:t>
            </w:r>
            <w:r w:rsidR="00532554">
              <w:rPr>
                <w:rFonts w:ascii="Times New Roman" w:hAnsi="Times New Roman" w:cs="Times New Roman"/>
                <w:sz w:val="24"/>
                <w:szCs w:val="24"/>
              </w:rPr>
              <w:t xml:space="preserve"> or financial gain from non-compliance, whichever is greater</w:t>
            </w:r>
          </w:p>
          <w:p w14:paraId="0C504AF0" w14:textId="422A57D4" w:rsidR="006268ED" w:rsidRDefault="006268ED">
            <w:pPr>
              <w:rPr>
                <w:rFonts w:ascii="Times New Roman" w:hAnsi="Times New Roman" w:cs="Times New Roman"/>
                <w:sz w:val="24"/>
                <w:szCs w:val="24"/>
              </w:rPr>
            </w:pPr>
          </w:p>
        </w:tc>
      </w:tr>
      <w:tr w:rsidR="00485289" w14:paraId="3741A989" w14:textId="77777777" w:rsidTr="002657DF">
        <w:tc>
          <w:tcPr>
            <w:tcW w:w="2267" w:type="dxa"/>
          </w:tcPr>
          <w:p w14:paraId="5CB0A7F2" w14:textId="36299532" w:rsidR="00485289" w:rsidRDefault="005F1300">
            <w:pPr>
              <w:rPr>
                <w:rFonts w:ascii="Times New Roman" w:hAnsi="Times New Roman" w:cs="Times New Roman"/>
                <w:sz w:val="24"/>
                <w:szCs w:val="24"/>
              </w:rPr>
            </w:pPr>
            <w:r>
              <w:rPr>
                <w:rFonts w:ascii="Times New Roman" w:hAnsi="Times New Roman" w:cs="Times New Roman"/>
                <w:sz w:val="24"/>
                <w:szCs w:val="24"/>
              </w:rPr>
              <w:t xml:space="preserve">Failure to </w:t>
            </w:r>
            <w:r w:rsidR="0087304C">
              <w:rPr>
                <w:rFonts w:ascii="Times New Roman" w:hAnsi="Times New Roman" w:cs="Times New Roman"/>
                <w:sz w:val="24"/>
                <w:szCs w:val="24"/>
              </w:rPr>
              <w:t>meet</w:t>
            </w:r>
            <w:r>
              <w:rPr>
                <w:rFonts w:ascii="Times New Roman" w:hAnsi="Times New Roman" w:cs="Times New Roman"/>
                <w:sz w:val="24"/>
                <w:szCs w:val="24"/>
              </w:rPr>
              <w:t xml:space="preserve"> </w:t>
            </w:r>
            <w:r w:rsidR="0087304C">
              <w:rPr>
                <w:rFonts w:ascii="Times New Roman" w:hAnsi="Times New Roman" w:cs="Times New Roman"/>
                <w:sz w:val="24"/>
                <w:szCs w:val="24"/>
              </w:rPr>
              <w:t>all</w:t>
            </w:r>
            <w:r>
              <w:rPr>
                <w:rFonts w:ascii="Times New Roman" w:hAnsi="Times New Roman" w:cs="Times New Roman"/>
                <w:sz w:val="24"/>
                <w:szCs w:val="24"/>
              </w:rPr>
              <w:t xml:space="preserve"> targets</w:t>
            </w:r>
            <w:r w:rsidR="00532554">
              <w:rPr>
                <w:rFonts w:ascii="Times New Roman" w:hAnsi="Times New Roman" w:cs="Times New Roman"/>
                <w:sz w:val="24"/>
                <w:szCs w:val="24"/>
              </w:rPr>
              <w:t xml:space="preserve"> </w:t>
            </w:r>
          </w:p>
        </w:tc>
        <w:tc>
          <w:tcPr>
            <w:tcW w:w="2249" w:type="dxa"/>
          </w:tcPr>
          <w:p w14:paraId="0027D8F1" w14:textId="607001C7" w:rsidR="00485289" w:rsidRDefault="005F1300">
            <w:pPr>
              <w:rPr>
                <w:rFonts w:ascii="Times New Roman" w:hAnsi="Times New Roman" w:cs="Times New Roman"/>
                <w:sz w:val="24"/>
                <w:szCs w:val="24"/>
              </w:rPr>
            </w:pPr>
            <w:r>
              <w:rPr>
                <w:rFonts w:ascii="Times New Roman" w:hAnsi="Times New Roman" w:cs="Times New Roman"/>
                <w:sz w:val="24"/>
                <w:szCs w:val="24"/>
              </w:rPr>
              <w:t>Financial penalty – £10,000</w:t>
            </w:r>
            <w:r w:rsidR="00532554">
              <w:rPr>
                <w:rFonts w:ascii="Times New Roman" w:hAnsi="Times New Roman" w:cs="Times New Roman"/>
                <w:sz w:val="24"/>
                <w:szCs w:val="24"/>
              </w:rPr>
              <w:t xml:space="preserve"> or financial gain from non-compliance, whichever is greater</w:t>
            </w:r>
          </w:p>
        </w:tc>
        <w:tc>
          <w:tcPr>
            <w:tcW w:w="2249" w:type="dxa"/>
          </w:tcPr>
          <w:p w14:paraId="12DD0723" w14:textId="77777777" w:rsidR="00485289" w:rsidRDefault="005F1300">
            <w:pPr>
              <w:rPr>
                <w:rFonts w:ascii="Times New Roman" w:hAnsi="Times New Roman" w:cs="Times New Roman"/>
                <w:sz w:val="24"/>
                <w:szCs w:val="24"/>
              </w:rPr>
            </w:pPr>
            <w:r>
              <w:rPr>
                <w:rFonts w:ascii="Times New Roman" w:hAnsi="Times New Roman" w:cs="Times New Roman"/>
                <w:sz w:val="24"/>
                <w:szCs w:val="24"/>
              </w:rPr>
              <w:t>Financial penalty – £10,000</w:t>
            </w:r>
            <w:r w:rsidR="00532554">
              <w:rPr>
                <w:rFonts w:ascii="Times New Roman" w:hAnsi="Times New Roman" w:cs="Times New Roman"/>
                <w:sz w:val="24"/>
                <w:szCs w:val="24"/>
              </w:rPr>
              <w:t xml:space="preserve"> or financial gain from non-compliance, whichever is greater</w:t>
            </w:r>
            <w:r>
              <w:rPr>
                <w:rFonts w:ascii="Times New Roman" w:hAnsi="Times New Roman" w:cs="Times New Roman"/>
                <w:sz w:val="24"/>
                <w:szCs w:val="24"/>
              </w:rPr>
              <w:t xml:space="preserve"> and a warning letter advising that withholding of Catch Entitlement will be considered in relation to future breaches</w:t>
            </w:r>
          </w:p>
          <w:p w14:paraId="13BA49DB" w14:textId="391C6F0D" w:rsidR="006268ED" w:rsidRDefault="006268ED">
            <w:pPr>
              <w:rPr>
                <w:rFonts w:ascii="Times New Roman" w:hAnsi="Times New Roman" w:cs="Times New Roman"/>
                <w:sz w:val="24"/>
                <w:szCs w:val="24"/>
              </w:rPr>
            </w:pPr>
          </w:p>
        </w:tc>
        <w:tc>
          <w:tcPr>
            <w:tcW w:w="2251" w:type="dxa"/>
          </w:tcPr>
          <w:p w14:paraId="6CB001CB" w14:textId="4DA06EA3" w:rsidR="00485289" w:rsidRDefault="005F1300">
            <w:pPr>
              <w:rPr>
                <w:rFonts w:ascii="Times New Roman" w:hAnsi="Times New Roman" w:cs="Times New Roman"/>
                <w:sz w:val="24"/>
                <w:szCs w:val="24"/>
              </w:rPr>
            </w:pPr>
            <w:r>
              <w:rPr>
                <w:rFonts w:ascii="Times New Roman" w:hAnsi="Times New Roman" w:cs="Times New Roman"/>
                <w:sz w:val="24"/>
                <w:szCs w:val="24"/>
              </w:rPr>
              <w:t xml:space="preserve">Financial penalty </w:t>
            </w:r>
            <w:r w:rsidR="00532554">
              <w:rPr>
                <w:rFonts w:ascii="Times New Roman" w:hAnsi="Times New Roman" w:cs="Times New Roman"/>
                <w:sz w:val="24"/>
                <w:szCs w:val="24"/>
              </w:rPr>
              <w:t xml:space="preserve">– up to the total value of catch for the relevant year </w:t>
            </w:r>
            <w:r>
              <w:rPr>
                <w:rFonts w:ascii="Times New Roman" w:hAnsi="Times New Roman" w:cs="Times New Roman"/>
                <w:sz w:val="24"/>
                <w:szCs w:val="24"/>
              </w:rPr>
              <w:t xml:space="preserve">or Catch Entitlement penalty </w:t>
            </w:r>
          </w:p>
        </w:tc>
      </w:tr>
    </w:tbl>
    <w:p w14:paraId="06EAA7DB" w14:textId="77777777" w:rsidR="008A5F16" w:rsidRPr="002D63F8" w:rsidRDefault="008A5F16" w:rsidP="00D22D52">
      <w:pPr>
        <w:spacing w:before="240"/>
        <w:rPr>
          <w:rFonts w:ascii="Times New Roman" w:hAnsi="Times New Roman" w:cs="Times New Roman"/>
          <w:sz w:val="24"/>
          <w:szCs w:val="24"/>
        </w:rPr>
      </w:pPr>
      <w:r w:rsidRPr="002D63F8">
        <w:rPr>
          <w:rFonts w:ascii="Times New Roman" w:hAnsi="Times New Roman" w:cs="Times New Roman"/>
          <w:sz w:val="24"/>
          <w:szCs w:val="24"/>
        </w:rPr>
        <w:t xml:space="preserve">No penalty may be imposed if the company can demonstrate that mitigating circumstances apply such that they could not reasonably comply with the action plan. </w:t>
      </w:r>
      <w:r>
        <w:rPr>
          <w:rFonts w:ascii="Times New Roman" w:hAnsi="Times New Roman" w:cs="Times New Roman"/>
          <w:sz w:val="24"/>
          <w:szCs w:val="24"/>
        </w:rPr>
        <w:t>Partial mitigating circumstances may also result in a partial reduction in the penalty. Severe or persistent breaches may incur a higher than indicated penalty.</w:t>
      </w:r>
    </w:p>
    <w:p w14:paraId="733641AD" w14:textId="77777777" w:rsidR="008A5F16" w:rsidRDefault="008A5F16" w:rsidP="008A5F16">
      <w:pPr>
        <w:rPr>
          <w:rFonts w:ascii="Times New Roman" w:hAnsi="Times New Roman" w:cs="Times New Roman"/>
          <w:sz w:val="24"/>
          <w:szCs w:val="24"/>
        </w:rPr>
      </w:pPr>
      <w:r w:rsidRPr="002D63F8">
        <w:rPr>
          <w:rFonts w:ascii="Times New Roman" w:hAnsi="Times New Roman" w:cs="Times New Roman"/>
          <w:sz w:val="24"/>
          <w:szCs w:val="24"/>
        </w:rPr>
        <w:lastRenderedPageBreak/>
        <w:t xml:space="preserve">Failure to comply with their action plan will not result in the company ceasing to be eligible to hold ITQ B. </w:t>
      </w:r>
    </w:p>
    <w:p w14:paraId="4B076390" w14:textId="77777777" w:rsidR="00E10E12" w:rsidRDefault="00E10E12" w:rsidP="008A5F16">
      <w:pPr>
        <w:rPr>
          <w:rFonts w:ascii="Times New Roman" w:hAnsi="Times New Roman" w:cs="Times New Roman"/>
          <w:i/>
          <w:sz w:val="24"/>
          <w:szCs w:val="24"/>
        </w:rPr>
      </w:pPr>
    </w:p>
    <w:p w14:paraId="6DC5D4C5" w14:textId="72A8E322" w:rsidR="00D508A1" w:rsidRPr="00D508A1" w:rsidRDefault="00D508A1" w:rsidP="00D508A1">
      <w:pPr>
        <w:rPr>
          <w:rFonts w:ascii="Times New Roman" w:hAnsi="Times New Roman" w:cs="Times New Roman"/>
          <w:b/>
          <w:sz w:val="24"/>
          <w:szCs w:val="24"/>
        </w:rPr>
      </w:pPr>
      <w:r w:rsidRPr="00D508A1">
        <w:rPr>
          <w:rFonts w:ascii="Times New Roman" w:hAnsi="Times New Roman" w:cs="Times New Roman"/>
          <w:b/>
          <w:sz w:val="24"/>
          <w:szCs w:val="24"/>
        </w:rPr>
        <w:t xml:space="preserve">How companies may seek a review </w:t>
      </w:r>
      <w:r w:rsidR="00F77D09">
        <w:rPr>
          <w:rFonts w:ascii="Times New Roman" w:hAnsi="Times New Roman" w:cs="Times New Roman"/>
          <w:b/>
          <w:sz w:val="24"/>
          <w:szCs w:val="24"/>
        </w:rPr>
        <w:t>of</w:t>
      </w:r>
      <w:r w:rsidRPr="00D508A1">
        <w:rPr>
          <w:rFonts w:ascii="Times New Roman" w:hAnsi="Times New Roman" w:cs="Times New Roman"/>
          <w:b/>
          <w:sz w:val="24"/>
          <w:szCs w:val="24"/>
        </w:rPr>
        <w:t xml:space="preserve"> certain decisions made by the Director in relation to action plans</w:t>
      </w:r>
    </w:p>
    <w:p w14:paraId="0DD1CFD8" w14:textId="4539DE68" w:rsidR="00D508A1" w:rsidRDefault="008A1BB6" w:rsidP="00A05226">
      <w:pPr>
        <w:rPr>
          <w:rFonts w:ascii="Times New Roman" w:hAnsi="Times New Roman" w:cs="Times New Roman"/>
          <w:sz w:val="24"/>
          <w:szCs w:val="24"/>
        </w:rPr>
      </w:pPr>
      <w:r w:rsidRPr="002D63F8">
        <w:rPr>
          <w:rFonts w:ascii="Times New Roman" w:hAnsi="Times New Roman" w:cs="Times New Roman"/>
          <w:sz w:val="24"/>
          <w:szCs w:val="24"/>
        </w:rPr>
        <w:t>If the</w:t>
      </w:r>
      <w:r w:rsidR="00A05226" w:rsidRPr="002D63F8">
        <w:rPr>
          <w:rFonts w:ascii="Times New Roman" w:hAnsi="Times New Roman" w:cs="Times New Roman"/>
          <w:sz w:val="24"/>
          <w:szCs w:val="24"/>
        </w:rPr>
        <w:t xml:space="preserve">re is disagreement on the content of </w:t>
      </w:r>
      <w:r w:rsidR="00F461A7">
        <w:rPr>
          <w:rFonts w:ascii="Times New Roman" w:hAnsi="Times New Roman" w:cs="Times New Roman"/>
          <w:sz w:val="24"/>
          <w:szCs w:val="24"/>
        </w:rPr>
        <w:t xml:space="preserve">the </w:t>
      </w:r>
      <w:r w:rsidRPr="002D63F8">
        <w:rPr>
          <w:rFonts w:ascii="Times New Roman" w:hAnsi="Times New Roman" w:cs="Times New Roman"/>
          <w:sz w:val="24"/>
          <w:szCs w:val="24"/>
        </w:rPr>
        <w:t xml:space="preserve">first </w:t>
      </w:r>
      <w:r w:rsidR="0026205E">
        <w:rPr>
          <w:rFonts w:ascii="Times New Roman" w:hAnsi="Times New Roman" w:cs="Times New Roman"/>
          <w:sz w:val="24"/>
          <w:szCs w:val="24"/>
        </w:rPr>
        <w:t>a</w:t>
      </w:r>
      <w:r w:rsidRPr="002D63F8">
        <w:rPr>
          <w:rFonts w:ascii="Times New Roman" w:hAnsi="Times New Roman" w:cs="Times New Roman"/>
          <w:sz w:val="24"/>
          <w:szCs w:val="24"/>
        </w:rPr>
        <w:t>ction plan</w:t>
      </w:r>
      <w:r w:rsidR="00F1446A">
        <w:rPr>
          <w:rFonts w:ascii="Times New Roman" w:hAnsi="Times New Roman" w:cs="Times New Roman"/>
          <w:sz w:val="24"/>
          <w:szCs w:val="24"/>
        </w:rPr>
        <w:t xml:space="preserve"> to form part of the company’s application to be named on an ITQ B eligibility register</w:t>
      </w:r>
      <w:r w:rsidR="00A05226" w:rsidRPr="002D63F8">
        <w:rPr>
          <w:rFonts w:ascii="Times New Roman" w:hAnsi="Times New Roman" w:cs="Times New Roman"/>
          <w:sz w:val="24"/>
          <w:szCs w:val="24"/>
        </w:rPr>
        <w:t xml:space="preserve">, the company may make an appeal to </w:t>
      </w:r>
      <w:proofErr w:type="spellStart"/>
      <w:r w:rsidR="00B81951" w:rsidRPr="002D63F8">
        <w:rPr>
          <w:rFonts w:ascii="Times New Roman" w:hAnsi="Times New Roman" w:cs="Times New Roman"/>
          <w:sz w:val="24"/>
          <w:szCs w:val="24"/>
        </w:rPr>
        <w:t>ExC</w:t>
      </w:r>
      <w:r w:rsidR="00552DE4" w:rsidRPr="002D63F8">
        <w:rPr>
          <w:rFonts w:ascii="Times New Roman" w:hAnsi="Times New Roman" w:cs="Times New Roman"/>
          <w:sz w:val="24"/>
          <w:szCs w:val="24"/>
        </w:rPr>
        <w:t>o</w:t>
      </w:r>
      <w:proofErr w:type="spellEnd"/>
      <w:r w:rsidR="00A05226" w:rsidRPr="002D63F8">
        <w:rPr>
          <w:rFonts w:ascii="Times New Roman" w:hAnsi="Times New Roman" w:cs="Times New Roman"/>
          <w:sz w:val="24"/>
          <w:szCs w:val="24"/>
        </w:rPr>
        <w:t xml:space="preserve">, who will </w:t>
      </w:r>
      <w:r w:rsidR="00056C98" w:rsidRPr="002D63F8">
        <w:rPr>
          <w:rFonts w:ascii="Times New Roman" w:hAnsi="Times New Roman" w:cs="Times New Roman"/>
          <w:sz w:val="24"/>
          <w:szCs w:val="24"/>
        </w:rPr>
        <w:t>have the power</w:t>
      </w:r>
      <w:r w:rsidR="001A1579">
        <w:rPr>
          <w:rFonts w:ascii="Times New Roman" w:hAnsi="Times New Roman" w:cs="Times New Roman"/>
          <w:sz w:val="24"/>
          <w:szCs w:val="24"/>
        </w:rPr>
        <w:t xml:space="preserve"> to</w:t>
      </w:r>
      <w:r w:rsidR="00D508A1">
        <w:rPr>
          <w:rFonts w:ascii="Times New Roman" w:hAnsi="Times New Roman" w:cs="Times New Roman"/>
          <w:sz w:val="24"/>
          <w:szCs w:val="24"/>
        </w:rPr>
        <w:t>:</w:t>
      </w:r>
    </w:p>
    <w:p w14:paraId="4D8CB9D5" w14:textId="77777777" w:rsidR="00D508A1" w:rsidRDefault="00D508A1" w:rsidP="00D508A1">
      <w:pPr>
        <w:pStyle w:val="ListParagraph"/>
        <w:numPr>
          <w:ilvl w:val="0"/>
          <w:numId w:val="16"/>
        </w:numPr>
        <w:rPr>
          <w:rFonts w:ascii="Times New Roman" w:hAnsi="Times New Roman" w:cs="Times New Roman"/>
          <w:sz w:val="24"/>
          <w:szCs w:val="24"/>
        </w:rPr>
      </w:pPr>
      <w:bookmarkStart w:id="9" w:name="_Hlk74814485"/>
      <w:r w:rsidRPr="00D508A1">
        <w:rPr>
          <w:rFonts w:ascii="Times New Roman" w:hAnsi="Times New Roman" w:cs="Times New Roman"/>
          <w:sz w:val="24"/>
          <w:szCs w:val="24"/>
        </w:rPr>
        <w:t>affirm</w:t>
      </w:r>
      <w:r>
        <w:rPr>
          <w:rFonts w:ascii="Times New Roman" w:hAnsi="Times New Roman" w:cs="Times New Roman"/>
          <w:sz w:val="24"/>
          <w:szCs w:val="24"/>
        </w:rPr>
        <w:t xml:space="preserve"> the decision</w:t>
      </w:r>
    </w:p>
    <w:p w14:paraId="35C055E6" w14:textId="2F611A27" w:rsidR="00D508A1" w:rsidRPr="00D508A1" w:rsidRDefault="00D508A1" w:rsidP="00D508A1">
      <w:pPr>
        <w:pStyle w:val="ListParagraph"/>
        <w:numPr>
          <w:ilvl w:val="0"/>
          <w:numId w:val="16"/>
        </w:numPr>
        <w:rPr>
          <w:rFonts w:ascii="Times New Roman" w:hAnsi="Times New Roman" w:cs="Times New Roman"/>
          <w:sz w:val="24"/>
          <w:szCs w:val="24"/>
        </w:rPr>
      </w:pPr>
      <w:r w:rsidRPr="00D508A1">
        <w:rPr>
          <w:rFonts w:ascii="Times New Roman" w:hAnsi="Times New Roman" w:cs="Times New Roman"/>
          <w:sz w:val="24"/>
          <w:szCs w:val="24"/>
        </w:rPr>
        <w:t>vary</w:t>
      </w:r>
      <w:r>
        <w:rPr>
          <w:rFonts w:ascii="Times New Roman" w:hAnsi="Times New Roman" w:cs="Times New Roman"/>
          <w:sz w:val="24"/>
          <w:szCs w:val="24"/>
        </w:rPr>
        <w:t xml:space="preserve"> the decision</w:t>
      </w:r>
      <w:r w:rsidRPr="00D508A1">
        <w:rPr>
          <w:rFonts w:ascii="Times New Roman" w:hAnsi="Times New Roman" w:cs="Times New Roman"/>
          <w:sz w:val="24"/>
          <w:szCs w:val="24"/>
        </w:rPr>
        <w:t xml:space="preserve"> </w:t>
      </w:r>
    </w:p>
    <w:p w14:paraId="324391FA" w14:textId="2FA59BD0" w:rsidR="00D508A1" w:rsidRDefault="00056C98" w:rsidP="00D508A1">
      <w:pPr>
        <w:pStyle w:val="ListParagraph"/>
        <w:numPr>
          <w:ilvl w:val="0"/>
          <w:numId w:val="16"/>
        </w:numPr>
        <w:rPr>
          <w:rFonts w:ascii="Times New Roman" w:hAnsi="Times New Roman" w:cs="Times New Roman"/>
          <w:sz w:val="24"/>
          <w:szCs w:val="24"/>
        </w:rPr>
      </w:pPr>
      <w:r w:rsidRPr="00D508A1">
        <w:rPr>
          <w:rFonts w:ascii="Times New Roman" w:hAnsi="Times New Roman" w:cs="Times New Roman"/>
          <w:sz w:val="24"/>
          <w:szCs w:val="24"/>
        </w:rPr>
        <w:t>to ask the Director to re-consider the</w:t>
      </w:r>
      <w:r w:rsidR="00D508A1">
        <w:rPr>
          <w:rFonts w:ascii="Times New Roman" w:hAnsi="Times New Roman" w:cs="Times New Roman"/>
          <w:sz w:val="24"/>
          <w:szCs w:val="24"/>
        </w:rPr>
        <w:t>ir</w:t>
      </w:r>
      <w:r w:rsidRPr="00D508A1">
        <w:rPr>
          <w:rFonts w:ascii="Times New Roman" w:hAnsi="Times New Roman" w:cs="Times New Roman"/>
          <w:sz w:val="24"/>
          <w:szCs w:val="24"/>
        </w:rPr>
        <w:t xml:space="preserve"> decision</w:t>
      </w:r>
    </w:p>
    <w:p w14:paraId="529BB89E" w14:textId="541E8E5B" w:rsidR="00D508A1" w:rsidRDefault="00D508A1" w:rsidP="00D508A1">
      <w:pPr>
        <w:pStyle w:val="ListParagraph"/>
        <w:numPr>
          <w:ilvl w:val="0"/>
          <w:numId w:val="16"/>
        </w:numPr>
        <w:rPr>
          <w:rFonts w:ascii="Times New Roman" w:hAnsi="Times New Roman" w:cs="Times New Roman"/>
          <w:sz w:val="24"/>
          <w:szCs w:val="24"/>
        </w:rPr>
      </w:pPr>
      <w:r w:rsidRPr="00D508A1">
        <w:rPr>
          <w:rFonts w:ascii="Times New Roman" w:hAnsi="Times New Roman" w:cs="Times New Roman"/>
          <w:sz w:val="24"/>
          <w:szCs w:val="24"/>
        </w:rPr>
        <w:t xml:space="preserve">set aside </w:t>
      </w:r>
      <w:r>
        <w:rPr>
          <w:rFonts w:ascii="Times New Roman" w:hAnsi="Times New Roman" w:cs="Times New Roman"/>
          <w:sz w:val="24"/>
          <w:szCs w:val="24"/>
        </w:rPr>
        <w:t xml:space="preserve">the Director’s decision </w:t>
      </w:r>
      <w:r w:rsidRPr="00D508A1">
        <w:rPr>
          <w:rFonts w:ascii="Times New Roman" w:hAnsi="Times New Roman" w:cs="Times New Roman"/>
          <w:sz w:val="24"/>
          <w:szCs w:val="24"/>
        </w:rPr>
        <w:t>and substitute a new decision.</w:t>
      </w:r>
    </w:p>
    <w:bookmarkEnd w:id="9"/>
    <w:p w14:paraId="5376C552" w14:textId="7F5BCF5B" w:rsidR="00A05226" w:rsidRPr="002D63F8" w:rsidRDefault="008A1BB6" w:rsidP="00C81DA1">
      <w:pPr>
        <w:ind w:left="63"/>
        <w:rPr>
          <w:rFonts w:ascii="Times New Roman" w:hAnsi="Times New Roman" w:cs="Times New Roman"/>
          <w:sz w:val="24"/>
          <w:szCs w:val="24"/>
        </w:rPr>
      </w:pPr>
      <w:r w:rsidRPr="002D63F8">
        <w:rPr>
          <w:rFonts w:ascii="Times New Roman" w:hAnsi="Times New Roman" w:cs="Times New Roman"/>
          <w:sz w:val="24"/>
          <w:szCs w:val="24"/>
        </w:rPr>
        <w:t>If the</w:t>
      </w:r>
      <w:r w:rsidR="00A05226" w:rsidRPr="002D63F8">
        <w:rPr>
          <w:rFonts w:ascii="Times New Roman" w:hAnsi="Times New Roman" w:cs="Times New Roman"/>
          <w:sz w:val="24"/>
          <w:szCs w:val="24"/>
        </w:rPr>
        <w:t xml:space="preserve">re is a disagreement on </w:t>
      </w:r>
      <w:r w:rsidR="00F1446A">
        <w:rPr>
          <w:rFonts w:ascii="Times New Roman" w:hAnsi="Times New Roman" w:cs="Times New Roman"/>
          <w:sz w:val="24"/>
          <w:szCs w:val="24"/>
        </w:rPr>
        <w:t xml:space="preserve">the contents of </w:t>
      </w:r>
      <w:r w:rsidR="00A05226" w:rsidRPr="002D63F8">
        <w:rPr>
          <w:rFonts w:ascii="Times New Roman" w:hAnsi="Times New Roman" w:cs="Times New Roman"/>
          <w:sz w:val="24"/>
          <w:szCs w:val="24"/>
        </w:rPr>
        <w:t xml:space="preserve">a </w:t>
      </w:r>
      <w:r w:rsidRPr="002D63F8">
        <w:rPr>
          <w:rFonts w:ascii="Times New Roman" w:hAnsi="Times New Roman" w:cs="Times New Roman"/>
          <w:sz w:val="24"/>
          <w:szCs w:val="24"/>
        </w:rPr>
        <w:t>later action plan</w:t>
      </w:r>
      <w:r w:rsidR="00F37B68" w:rsidRPr="002D63F8">
        <w:rPr>
          <w:rFonts w:ascii="Times New Roman" w:hAnsi="Times New Roman" w:cs="Times New Roman"/>
          <w:sz w:val="24"/>
          <w:szCs w:val="24"/>
        </w:rPr>
        <w:t xml:space="preserve"> (following the expiry of the original </w:t>
      </w:r>
      <w:r w:rsidR="003577F6" w:rsidRPr="002D63F8">
        <w:rPr>
          <w:rFonts w:ascii="Times New Roman" w:hAnsi="Times New Roman" w:cs="Times New Roman"/>
          <w:sz w:val="24"/>
          <w:szCs w:val="24"/>
        </w:rPr>
        <w:t>or any subsequent plan)</w:t>
      </w:r>
      <w:r w:rsidRPr="002D63F8">
        <w:rPr>
          <w:rFonts w:ascii="Times New Roman" w:hAnsi="Times New Roman" w:cs="Times New Roman"/>
          <w:sz w:val="24"/>
          <w:szCs w:val="24"/>
        </w:rPr>
        <w:t xml:space="preserve">, </w:t>
      </w:r>
      <w:r w:rsidR="00A05226" w:rsidRPr="002D63F8">
        <w:rPr>
          <w:rFonts w:ascii="Times New Roman" w:hAnsi="Times New Roman" w:cs="Times New Roman"/>
          <w:sz w:val="24"/>
          <w:szCs w:val="24"/>
        </w:rPr>
        <w:t xml:space="preserve">the company may apply to the Disputes Commission to review the decision. </w:t>
      </w:r>
      <w:r w:rsidR="00DA15DC">
        <w:rPr>
          <w:rFonts w:ascii="Times New Roman" w:hAnsi="Times New Roman" w:cs="Times New Roman"/>
          <w:sz w:val="24"/>
          <w:szCs w:val="24"/>
        </w:rPr>
        <w:t xml:space="preserve">This may include, but is not limited to, a situation where the company believes that the </w:t>
      </w:r>
      <w:r w:rsidR="00DA15DC" w:rsidRPr="002D63F8">
        <w:rPr>
          <w:rFonts w:ascii="Times New Roman" w:hAnsi="Times New Roman" w:cs="Times New Roman"/>
          <w:sz w:val="24"/>
          <w:szCs w:val="24"/>
        </w:rPr>
        <w:t>objectives and</w:t>
      </w:r>
      <w:r w:rsidR="00DA15DC">
        <w:rPr>
          <w:rFonts w:ascii="Times New Roman" w:hAnsi="Times New Roman" w:cs="Times New Roman"/>
          <w:sz w:val="24"/>
          <w:szCs w:val="24"/>
        </w:rPr>
        <w:t>/or targets</w:t>
      </w:r>
      <w:r w:rsidR="00DA15DC" w:rsidRPr="002D63F8">
        <w:rPr>
          <w:rFonts w:ascii="Times New Roman" w:hAnsi="Times New Roman" w:cs="Times New Roman"/>
          <w:sz w:val="24"/>
          <w:szCs w:val="24"/>
        </w:rPr>
        <w:t xml:space="preserve"> </w:t>
      </w:r>
      <w:r w:rsidR="00DA15DC">
        <w:rPr>
          <w:rFonts w:ascii="Times New Roman" w:hAnsi="Times New Roman" w:cs="Times New Roman"/>
          <w:sz w:val="24"/>
          <w:szCs w:val="24"/>
        </w:rPr>
        <w:t>set by the Director</w:t>
      </w:r>
      <w:r w:rsidR="00DA15DC" w:rsidRPr="002D63F8">
        <w:rPr>
          <w:rFonts w:ascii="Times New Roman" w:hAnsi="Times New Roman" w:cs="Times New Roman"/>
          <w:sz w:val="24"/>
          <w:szCs w:val="24"/>
        </w:rPr>
        <w:t xml:space="preserve"> are not a reasonable and proportionate way of advancing the goals in the Regulations</w:t>
      </w:r>
      <w:r w:rsidR="00DA15DC">
        <w:rPr>
          <w:rFonts w:ascii="Times New Roman" w:hAnsi="Times New Roman" w:cs="Times New Roman"/>
          <w:sz w:val="24"/>
          <w:szCs w:val="24"/>
        </w:rPr>
        <w:t xml:space="preserve">. </w:t>
      </w:r>
      <w:r w:rsidR="00A05226" w:rsidRPr="002D63F8">
        <w:rPr>
          <w:rFonts w:ascii="Times New Roman" w:hAnsi="Times New Roman" w:cs="Times New Roman"/>
          <w:sz w:val="24"/>
          <w:szCs w:val="24"/>
        </w:rPr>
        <w:t>If a company no longer has an approved action plan, they are no longer eligible to hold ITQ B.</w:t>
      </w:r>
      <w:r w:rsidR="00B82614">
        <w:rPr>
          <w:rFonts w:ascii="Times New Roman" w:hAnsi="Times New Roman" w:cs="Times New Roman"/>
          <w:sz w:val="24"/>
          <w:szCs w:val="24"/>
        </w:rPr>
        <w:t xml:space="preserve"> Removal of ITQ B eligibility as a result of failure to accept an approved action plan will only take place after all available review processes have concluded or the company confirms that it will not be taking forward any further reviews or appeals.</w:t>
      </w:r>
    </w:p>
    <w:p w14:paraId="36D88476" w14:textId="1F7E925C" w:rsidR="008A1BB6" w:rsidRPr="002D63F8" w:rsidRDefault="00DA15DC" w:rsidP="00C81DA1">
      <w:pPr>
        <w:ind w:left="63"/>
        <w:rPr>
          <w:rFonts w:ascii="Times New Roman" w:hAnsi="Times New Roman" w:cs="Times New Roman"/>
          <w:sz w:val="24"/>
          <w:szCs w:val="24"/>
        </w:rPr>
      </w:pPr>
      <w:r>
        <w:rPr>
          <w:rFonts w:ascii="Times New Roman" w:hAnsi="Times New Roman" w:cs="Times New Roman"/>
          <w:sz w:val="24"/>
          <w:szCs w:val="24"/>
        </w:rPr>
        <w:t>A</w:t>
      </w:r>
      <w:r w:rsidR="008A1BB6" w:rsidRPr="002D63F8">
        <w:rPr>
          <w:rFonts w:ascii="Times New Roman" w:hAnsi="Times New Roman" w:cs="Times New Roman"/>
          <w:sz w:val="24"/>
          <w:szCs w:val="24"/>
        </w:rPr>
        <w:t xml:space="preserve"> company </w:t>
      </w:r>
      <w:r>
        <w:rPr>
          <w:rFonts w:ascii="Times New Roman" w:hAnsi="Times New Roman" w:cs="Times New Roman"/>
          <w:sz w:val="24"/>
          <w:szCs w:val="24"/>
        </w:rPr>
        <w:t>may also ask the Disputes Commission to review a decision made by the Director in relation to any penalty imposed. This may include, but is not limited to, the</w:t>
      </w:r>
      <w:r w:rsidR="008A1BB6" w:rsidRPr="002D63F8">
        <w:rPr>
          <w:rFonts w:ascii="Times New Roman" w:hAnsi="Times New Roman" w:cs="Times New Roman"/>
          <w:sz w:val="24"/>
          <w:szCs w:val="24"/>
        </w:rPr>
        <w:t xml:space="preserve"> grounds that it disagrees with the Director</w:t>
      </w:r>
      <w:r w:rsidR="0026205E">
        <w:rPr>
          <w:rFonts w:ascii="Times New Roman" w:hAnsi="Times New Roman" w:cs="Times New Roman"/>
          <w:sz w:val="24"/>
          <w:szCs w:val="24"/>
        </w:rPr>
        <w:t>’</w:t>
      </w:r>
      <w:r w:rsidR="008A1BB6" w:rsidRPr="002D63F8">
        <w:rPr>
          <w:rFonts w:ascii="Times New Roman" w:hAnsi="Times New Roman" w:cs="Times New Roman"/>
          <w:sz w:val="24"/>
          <w:szCs w:val="24"/>
        </w:rPr>
        <w:t>s assessment of whether it has met its action plan objectives; it disagrees with the Director</w:t>
      </w:r>
      <w:r w:rsidR="0026205E">
        <w:rPr>
          <w:rFonts w:ascii="Times New Roman" w:hAnsi="Times New Roman" w:cs="Times New Roman"/>
          <w:sz w:val="24"/>
          <w:szCs w:val="24"/>
        </w:rPr>
        <w:t>’</w:t>
      </w:r>
      <w:r w:rsidR="008A1BB6" w:rsidRPr="002D63F8">
        <w:rPr>
          <w:rFonts w:ascii="Times New Roman" w:hAnsi="Times New Roman" w:cs="Times New Roman"/>
          <w:sz w:val="24"/>
          <w:szCs w:val="24"/>
        </w:rPr>
        <w:t>s assessment of whether</w:t>
      </w:r>
      <w:r w:rsidR="00F461A7">
        <w:rPr>
          <w:rFonts w:ascii="Times New Roman" w:hAnsi="Times New Roman" w:cs="Times New Roman"/>
          <w:sz w:val="24"/>
          <w:szCs w:val="24"/>
        </w:rPr>
        <w:t xml:space="preserve"> mi</w:t>
      </w:r>
      <w:r w:rsidR="008A1BB6" w:rsidRPr="002D63F8">
        <w:rPr>
          <w:rFonts w:ascii="Times New Roman" w:hAnsi="Times New Roman" w:cs="Times New Roman"/>
          <w:sz w:val="24"/>
          <w:szCs w:val="24"/>
        </w:rPr>
        <w:t>tigating circumstances</w:t>
      </w:r>
      <w:r w:rsidR="00F461A7">
        <w:rPr>
          <w:rFonts w:ascii="Times New Roman" w:hAnsi="Times New Roman" w:cs="Times New Roman"/>
          <w:sz w:val="24"/>
          <w:szCs w:val="24"/>
        </w:rPr>
        <w:t xml:space="preserve"> apply</w:t>
      </w:r>
      <w:r w:rsidR="008A1BB6" w:rsidRPr="002D63F8">
        <w:rPr>
          <w:rFonts w:ascii="Times New Roman" w:hAnsi="Times New Roman" w:cs="Times New Roman"/>
          <w:sz w:val="24"/>
          <w:szCs w:val="24"/>
        </w:rPr>
        <w:t>; or it disagrees that the level of penalty is reasonable and proportionate</w:t>
      </w:r>
      <w:r>
        <w:rPr>
          <w:rFonts w:ascii="Times New Roman" w:hAnsi="Times New Roman" w:cs="Times New Roman"/>
          <w:sz w:val="24"/>
          <w:szCs w:val="24"/>
        </w:rPr>
        <w:t xml:space="preserve">. </w:t>
      </w:r>
      <w:bookmarkStart w:id="10" w:name="_Hlk73700582"/>
    </w:p>
    <w:bookmarkEnd w:id="10"/>
    <w:p w14:paraId="20555AAE" w14:textId="2BE6D272" w:rsidR="00D508A1" w:rsidRDefault="00D508A1" w:rsidP="00C81DA1">
      <w:pPr>
        <w:ind w:left="63"/>
        <w:rPr>
          <w:rFonts w:ascii="Times New Roman" w:hAnsi="Times New Roman" w:cs="Times New Roman"/>
          <w:sz w:val="24"/>
          <w:szCs w:val="24"/>
        </w:rPr>
      </w:pPr>
      <w:r>
        <w:rPr>
          <w:rFonts w:ascii="Times New Roman" w:hAnsi="Times New Roman" w:cs="Times New Roman"/>
          <w:sz w:val="24"/>
          <w:szCs w:val="24"/>
        </w:rPr>
        <w:t>The Disputes Commission has the powers to:</w:t>
      </w:r>
    </w:p>
    <w:p w14:paraId="146271F6" w14:textId="77777777" w:rsidR="00D508A1" w:rsidRPr="00D508A1" w:rsidRDefault="00D508A1" w:rsidP="00D508A1">
      <w:pPr>
        <w:pStyle w:val="ListParagraph"/>
        <w:numPr>
          <w:ilvl w:val="0"/>
          <w:numId w:val="16"/>
        </w:numPr>
        <w:rPr>
          <w:rFonts w:ascii="Times New Roman" w:hAnsi="Times New Roman" w:cs="Times New Roman"/>
          <w:sz w:val="24"/>
          <w:szCs w:val="24"/>
        </w:rPr>
      </w:pPr>
      <w:r w:rsidRPr="00D508A1">
        <w:rPr>
          <w:rFonts w:ascii="Times New Roman" w:hAnsi="Times New Roman" w:cs="Times New Roman"/>
          <w:sz w:val="24"/>
          <w:szCs w:val="24"/>
        </w:rPr>
        <w:t>affirm the decision</w:t>
      </w:r>
    </w:p>
    <w:p w14:paraId="1FBAAE7B" w14:textId="77777777" w:rsidR="00D508A1" w:rsidRPr="00D508A1" w:rsidRDefault="00D508A1" w:rsidP="00D508A1">
      <w:pPr>
        <w:pStyle w:val="ListParagraph"/>
        <w:numPr>
          <w:ilvl w:val="0"/>
          <w:numId w:val="16"/>
        </w:numPr>
        <w:rPr>
          <w:rFonts w:ascii="Times New Roman" w:hAnsi="Times New Roman" w:cs="Times New Roman"/>
          <w:sz w:val="24"/>
          <w:szCs w:val="24"/>
        </w:rPr>
      </w:pPr>
      <w:r w:rsidRPr="00D508A1">
        <w:rPr>
          <w:rFonts w:ascii="Times New Roman" w:hAnsi="Times New Roman" w:cs="Times New Roman"/>
          <w:sz w:val="24"/>
          <w:szCs w:val="24"/>
        </w:rPr>
        <w:t xml:space="preserve">vary the decision </w:t>
      </w:r>
    </w:p>
    <w:p w14:paraId="231AC732" w14:textId="6A6017E7" w:rsidR="00D508A1" w:rsidRPr="00D508A1" w:rsidRDefault="00D508A1" w:rsidP="00D508A1">
      <w:pPr>
        <w:pStyle w:val="ListParagraph"/>
        <w:numPr>
          <w:ilvl w:val="0"/>
          <w:numId w:val="16"/>
        </w:numPr>
        <w:rPr>
          <w:rFonts w:ascii="Times New Roman" w:hAnsi="Times New Roman" w:cs="Times New Roman"/>
          <w:sz w:val="24"/>
          <w:szCs w:val="24"/>
        </w:rPr>
      </w:pPr>
      <w:r w:rsidRPr="00D508A1">
        <w:rPr>
          <w:rFonts w:ascii="Times New Roman" w:hAnsi="Times New Roman" w:cs="Times New Roman"/>
          <w:sz w:val="24"/>
          <w:szCs w:val="24"/>
        </w:rPr>
        <w:t>set aside the Director’s decision and substitute a new decision.</w:t>
      </w:r>
    </w:p>
    <w:p w14:paraId="7EBC1DE4" w14:textId="0DD0DA5A" w:rsidR="008A1BB6" w:rsidRPr="002D63F8" w:rsidRDefault="00A05226" w:rsidP="00C81DA1">
      <w:pPr>
        <w:ind w:left="63"/>
        <w:rPr>
          <w:rFonts w:ascii="Times New Roman" w:hAnsi="Times New Roman" w:cs="Times New Roman"/>
          <w:sz w:val="24"/>
          <w:szCs w:val="24"/>
        </w:rPr>
      </w:pPr>
      <w:r w:rsidRPr="002D63F8">
        <w:rPr>
          <w:rFonts w:ascii="Times New Roman" w:hAnsi="Times New Roman" w:cs="Times New Roman"/>
          <w:sz w:val="24"/>
          <w:szCs w:val="24"/>
        </w:rPr>
        <w:t>There will be no right to apply to the Dispute</w:t>
      </w:r>
      <w:r w:rsidR="0026205E">
        <w:rPr>
          <w:rFonts w:ascii="Times New Roman" w:hAnsi="Times New Roman" w:cs="Times New Roman"/>
          <w:sz w:val="24"/>
          <w:szCs w:val="24"/>
        </w:rPr>
        <w:t>s</w:t>
      </w:r>
      <w:r w:rsidRPr="002D63F8">
        <w:rPr>
          <w:rFonts w:ascii="Times New Roman" w:hAnsi="Times New Roman" w:cs="Times New Roman"/>
          <w:sz w:val="24"/>
          <w:szCs w:val="24"/>
        </w:rPr>
        <w:t xml:space="preserve"> Commission to review the Director’s decision to issue a</w:t>
      </w:r>
      <w:r w:rsidR="008A1BB6" w:rsidRPr="002D63F8">
        <w:rPr>
          <w:rFonts w:ascii="Times New Roman" w:hAnsi="Times New Roman" w:cs="Times New Roman"/>
          <w:sz w:val="24"/>
          <w:szCs w:val="24"/>
        </w:rPr>
        <w:t xml:space="preserve"> warning letter.</w:t>
      </w:r>
    </w:p>
    <w:p w14:paraId="4F62BC8D" w14:textId="21D1823D" w:rsidR="00B01BF4" w:rsidRDefault="00A05226" w:rsidP="007E450B">
      <w:pPr>
        <w:ind w:left="63"/>
        <w:rPr>
          <w:rFonts w:ascii="Times New Roman" w:hAnsi="Times New Roman" w:cs="Times New Roman"/>
          <w:sz w:val="24"/>
          <w:szCs w:val="24"/>
        </w:rPr>
      </w:pPr>
      <w:r w:rsidRPr="002D63F8">
        <w:rPr>
          <w:rFonts w:ascii="Times New Roman" w:hAnsi="Times New Roman" w:cs="Times New Roman"/>
          <w:sz w:val="24"/>
          <w:szCs w:val="24"/>
        </w:rPr>
        <w:t>None of the above affect</w:t>
      </w:r>
      <w:r w:rsidR="00DA15DC">
        <w:rPr>
          <w:rFonts w:ascii="Times New Roman" w:hAnsi="Times New Roman" w:cs="Times New Roman"/>
          <w:sz w:val="24"/>
          <w:szCs w:val="24"/>
        </w:rPr>
        <w:t>s</w:t>
      </w:r>
      <w:r w:rsidRPr="002D63F8">
        <w:rPr>
          <w:rFonts w:ascii="Times New Roman" w:hAnsi="Times New Roman" w:cs="Times New Roman"/>
          <w:sz w:val="24"/>
          <w:szCs w:val="24"/>
        </w:rPr>
        <w:t xml:space="preserve"> the ability </w:t>
      </w:r>
      <w:r w:rsidR="00C81DA1">
        <w:rPr>
          <w:rFonts w:ascii="Times New Roman" w:hAnsi="Times New Roman" w:cs="Times New Roman"/>
          <w:sz w:val="24"/>
          <w:szCs w:val="24"/>
        </w:rPr>
        <w:t xml:space="preserve">of any </w:t>
      </w:r>
      <w:r w:rsidR="00F1446A">
        <w:rPr>
          <w:rFonts w:ascii="Times New Roman" w:hAnsi="Times New Roman" w:cs="Times New Roman"/>
          <w:sz w:val="24"/>
          <w:szCs w:val="24"/>
        </w:rPr>
        <w:t xml:space="preserve">company </w:t>
      </w:r>
      <w:r w:rsidRPr="002D63F8">
        <w:rPr>
          <w:rFonts w:ascii="Times New Roman" w:hAnsi="Times New Roman" w:cs="Times New Roman"/>
          <w:sz w:val="24"/>
          <w:szCs w:val="24"/>
        </w:rPr>
        <w:t xml:space="preserve">to seek a </w:t>
      </w:r>
      <w:r w:rsidR="00D67291">
        <w:rPr>
          <w:rFonts w:ascii="Times New Roman" w:hAnsi="Times New Roman" w:cs="Times New Roman"/>
          <w:sz w:val="24"/>
          <w:szCs w:val="24"/>
        </w:rPr>
        <w:t>j</w:t>
      </w:r>
      <w:r w:rsidRPr="002D63F8">
        <w:rPr>
          <w:rFonts w:ascii="Times New Roman" w:hAnsi="Times New Roman" w:cs="Times New Roman"/>
          <w:sz w:val="24"/>
          <w:szCs w:val="24"/>
        </w:rPr>
        <w:t xml:space="preserve">udicial </w:t>
      </w:r>
      <w:r w:rsidR="00D67291">
        <w:rPr>
          <w:rFonts w:ascii="Times New Roman" w:hAnsi="Times New Roman" w:cs="Times New Roman"/>
          <w:sz w:val="24"/>
          <w:szCs w:val="24"/>
        </w:rPr>
        <w:t>r</w:t>
      </w:r>
      <w:r w:rsidRPr="002D63F8">
        <w:rPr>
          <w:rFonts w:ascii="Times New Roman" w:hAnsi="Times New Roman" w:cs="Times New Roman"/>
          <w:sz w:val="24"/>
          <w:szCs w:val="24"/>
        </w:rPr>
        <w:t>eview</w:t>
      </w:r>
      <w:r w:rsidR="00C81DA1">
        <w:rPr>
          <w:rFonts w:ascii="Times New Roman" w:hAnsi="Times New Roman" w:cs="Times New Roman"/>
          <w:sz w:val="24"/>
          <w:szCs w:val="24"/>
        </w:rPr>
        <w:t>.</w:t>
      </w:r>
    </w:p>
    <w:p w14:paraId="7D7E1CDF" w14:textId="6A26987C" w:rsidR="008446AB" w:rsidRDefault="008446AB">
      <w:pPr>
        <w:rPr>
          <w:rFonts w:ascii="Times New Roman" w:hAnsi="Times New Roman" w:cs="Times New Roman"/>
          <w:sz w:val="24"/>
          <w:szCs w:val="24"/>
        </w:rPr>
      </w:pPr>
      <w:r>
        <w:rPr>
          <w:rFonts w:ascii="Times New Roman" w:hAnsi="Times New Roman" w:cs="Times New Roman"/>
          <w:sz w:val="24"/>
          <w:szCs w:val="24"/>
        </w:rPr>
        <w:br w:type="page"/>
      </w:r>
    </w:p>
    <w:p w14:paraId="464B2E69" w14:textId="1037B575" w:rsidR="008446AB" w:rsidRPr="00BA55B3" w:rsidRDefault="008446AB" w:rsidP="008446AB">
      <w:pPr>
        <w:spacing w:after="0"/>
        <w:rPr>
          <w:rFonts w:ascii="Times New Roman" w:eastAsia="Times New Roman" w:hAnsi="Times New Roman" w:cs="Times New Roman"/>
          <w:b/>
          <w:sz w:val="28"/>
          <w:szCs w:val="28"/>
        </w:rPr>
      </w:pPr>
      <w:bookmarkStart w:id="11" w:name="_Hlk84493205"/>
      <w:r w:rsidRPr="00BA55B3">
        <w:rPr>
          <w:rFonts w:ascii="Times New Roman" w:eastAsia="Times New Roman" w:hAnsi="Times New Roman" w:cs="Times New Roman"/>
          <w:b/>
          <w:sz w:val="28"/>
          <w:szCs w:val="28"/>
        </w:rPr>
        <w:lastRenderedPageBreak/>
        <w:t xml:space="preserve">Annex – Template Eligible Company Action Plan </w:t>
      </w:r>
    </w:p>
    <w:p w14:paraId="4D404D7B" w14:textId="77777777" w:rsidR="008446AB" w:rsidRPr="008446AB" w:rsidRDefault="008446AB" w:rsidP="008446AB">
      <w:pPr>
        <w:spacing w:after="0"/>
        <w:rPr>
          <w:rFonts w:ascii="Times New Roman" w:eastAsia="Times New Roman" w:hAnsi="Times New Roman" w:cs="Times New Roman"/>
          <w:sz w:val="24"/>
          <w:szCs w:val="24"/>
        </w:rPr>
      </w:pPr>
    </w:p>
    <w:p w14:paraId="6123F923" w14:textId="77777777" w:rsidR="005422AA" w:rsidRPr="007E450B" w:rsidRDefault="005422AA" w:rsidP="005422AA">
      <w:pPr>
        <w:rPr>
          <w:rFonts w:ascii="Times New Roman" w:hAnsi="Times New Roman" w:cs="Times New Roman"/>
          <w:b/>
          <w:sz w:val="28"/>
          <w:szCs w:val="28"/>
        </w:rPr>
      </w:pPr>
      <w:r w:rsidRPr="007E450B">
        <w:rPr>
          <w:noProof/>
          <w:sz w:val="20"/>
          <w:szCs w:val="20"/>
        </w:rPr>
        <w:drawing>
          <wp:anchor distT="0" distB="0" distL="114300" distR="114300" simplePos="0" relativeHeight="251660288" behindDoc="0" locked="0" layoutInCell="1" allowOverlap="1" wp14:anchorId="45BCF5D5" wp14:editId="7D2FC145">
            <wp:simplePos x="0" y="0"/>
            <wp:positionH relativeFrom="column">
              <wp:posOffset>0</wp:posOffset>
            </wp:positionH>
            <wp:positionV relativeFrom="paragraph">
              <wp:posOffset>0</wp:posOffset>
            </wp:positionV>
            <wp:extent cx="714375" cy="8667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anchor>
        </w:drawing>
      </w:r>
      <w:r w:rsidRPr="007E450B">
        <w:rPr>
          <w:rFonts w:ascii="Times New Roman" w:hAnsi="Times New Roman" w:cs="Times New Roman"/>
          <w:b/>
          <w:sz w:val="28"/>
          <w:szCs w:val="28"/>
        </w:rPr>
        <w:t>Falkland Islands Fisheries Department</w:t>
      </w:r>
    </w:p>
    <w:p w14:paraId="3C19A5E8" w14:textId="77777777" w:rsidR="005422AA" w:rsidRPr="007E450B" w:rsidRDefault="005422AA" w:rsidP="005422AA">
      <w:pPr>
        <w:rPr>
          <w:rFonts w:ascii="Times New Roman" w:hAnsi="Times New Roman" w:cs="Times New Roman"/>
          <w:b/>
          <w:sz w:val="28"/>
          <w:szCs w:val="28"/>
        </w:rPr>
      </w:pPr>
      <w:r w:rsidRPr="007E450B">
        <w:rPr>
          <w:rFonts w:ascii="Times New Roman" w:hAnsi="Times New Roman" w:cs="Times New Roman"/>
          <w:b/>
          <w:sz w:val="28"/>
          <w:szCs w:val="28"/>
        </w:rPr>
        <w:t xml:space="preserve">Fisheries (Conservation and Management) Ordinance 2005 </w:t>
      </w:r>
    </w:p>
    <w:p w14:paraId="3EFE883A" w14:textId="7F2FCA17" w:rsidR="005422AA" w:rsidRPr="007E450B" w:rsidRDefault="005422AA" w:rsidP="005422AA">
      <w:pPr>
        <w:rPr>
          <w:rFonts w:ascii="Times New Roman" w:hAnsi="Times New Roman" w:cs="Times New Roman"/>
          <w:b/>
          <w:sz w:val="28"/>
          <w:szCs w:val="28"/>
        </w:rPr>
      </w:pPr>
      <w:r w:rsidRPr="007E450B">
        <w:rPr>
          <w:rFonts w:ascii="Times New Roman" w:hAnsi="Times New Roman" w:cs="Times New Roman"/>
          <w:b/>
          <w:sz w:val="28"/>
          <w:szCs w:val="28"/>
        </w:rPr>
        <w:t>ITQ B</w:t>
      </w:r>
      <w:r>
        <w:rPr>
          <w:rFonts w:ascii="Times New Roman" w:hAnsi="Times New Roman" w:cs="Times New Roman"/>
          <w:b/>
          <w:sz w:val="28"/>
          <w:szCs w:val="28"/>
        </w:rPr>
        <w:t xml:space="preserve"> Eligible Company</w:t>
      </w:r>
      <w:r w:rsidRPr="007E450B">
        <w:rPr>
          <w:rFonts w:ascii="Times New Roman" w:hAnsi="Times New Roman" w:cs="Times New Roman"/>
          <w:b/>
          <w:sz w:val="28"/>
          <w:szCs w:val="28"/>
        </w:rPr>
        <w:t xml:space="preserve"> Action Plan</w:t>
      </w:r>
    </w:p>
    <w:p w14:paraId="408BF5B6" w14:textId="77777777" w:rsidR="005422AA" w:rsidRDefault="005422AA" w:rsidP="008446AB">
      <w:pPr>
        <w:spacing w:after="0"/>
        <w:rPr>
          <w:rFonts w:ascii="Times New Roman" w:eastAsia="Times New Roman" w:hAnsi="Times New Roman" w:cs="Times New Roman"/>
          <w:sz w:val="24"/>
          <w:szCs w:val="24"/>
        </w:rPr>
      </w:pPr>
    </w:p>
    <w:p w14:paraId="36E951A2" w14:textId="2BC85C5C" w:rsidR="008446AB" w:rsidRPr="008446AB" w:rsidRDefault="008446AB" w:rsidP="008446AB">
      <w:pPr>
        <w:spacing w:after="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 xml:space="preserve">Company Name: </w:t>
      </w:r>
    </w:p>
    <w:p w14:paraId="2FED878C" w14:textId="77777777" w:rsidR="008446AB" w:rsidRPr="008446AB" w:rsidRDefault="008446AB" w:rsidP="008446AB">
      <w:pPr>
        <w:spacing w:after="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Contact:</w:t>
      </w:r>
    </w:p>
    <w:p w14:paraId="4675DB94" w14:textId="77777777" w:rsidR="008446AB" w:rsidRPr="008446AB" w:rsidRDefault="008446AB" w:rsidP="008446AB">
      <w:pPr>
        <w:spacing w:after="0"/>
        <w:rPr>
          <w:rFonts w:ascii="Times New Roman" w:eastAsia="Times New Roman" w:hAnsi="Times New Roman" w:cs="Times New Roman"/>
          <w:sz w:val="24"/>
          <w:szCs w:val="24"/>
        </w:rPr>
      </w:pPr>
    </w:p>
    <w:p w14:paraId="32758ED0" w14:textId="77777777" w:rsidR="008446AB" w:rsidRPr="008446AB" w:rsidRDefault="008446AB" w:rsidP="008446AB">
      <w:pPr>
        <w:spacing w:after="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Date of validity of action plan: 1</w:t>
      </w:r>
      <w:r w:rsidRPr="008446AB">
        <w:rPr>
          <w:rFonts w:ascii="Times New Roman" w:eastAsia="Times New Roman" w:hAnsi="Times New Roman" w:cs="Times New Roman"/>
          <w:sz w:val="24"/>
          <w:szCs w:val="24"/>
          <w:vertAlign w:val="superscript"/>
        </w:rPr>
        <w:t>st</w:t>
      </w:r>
      <w:r w:rsidRPr="008446AB">
        <w:rPr>
          <w:rFonts w:ascii="Times New Roman" w:eastAsia="Times New Roman" w:hAnsi="Times New Roman" w:cs="Times New Roman"/>
          <w:sz w:val="24"/>
          <w:szCs w:val="24"/>
        </w:rPr>
        <w:t xml:space="preserve"> January 2023 – 31</w:t>
      </w:r>
      <w:r w:rsidRPr="008446AB">
        <w:rPr>
          <w:rFonts w:ascii="Times New Roman" w:eastAsia="Times New Roman" w:hAnsi="Times New Roman" w:cs="Times New Roman"/>
          <w:sz w:val="24"/>
          <w:szCs w:val="24"/>
          <w:vertAlign w:val="superscript"/>
        </w:rPr>
        <w:t>st</w:t>
      </w:r>
      <w:r w:rsidRPr="008446AB">
        <w:rPr>
          <w:rFonts w:ascii="Times New Roman" w:eastAsia="Times New Roman" w:hAnsi="Times New Roman" w:cs="Times New Roman"/>
          <w:sz w:val="24"/>
          <w:szCs w:val="24"/>
        </w:rPr>
        <w:t xml:space="preserve"> December 2028</w:t>
      </w:r>
    </w:p>
    <w:p w14:paraId="62F4976E" w14:textId="77777777" w:rsidR="008446AB" w:rsidRPr="008446AB" w:rsidRDefault="008446AB" w:rsidP="008446AB">
      <w:pPr>
        <w:spacing w:after="0"/>
        <w:rPr>
          <w:rFonts w:ascii="Times New Roman" w:eastAsia="Times New Roman" w:hAnsi="Times New Roman" w:cs="Times New Roman"/>
          <w:sz w:val="24"/>
          <w:szCs w:val="24"/>
        </w:rPr>
      </w:pPr>
    </w:p>
    <w:p w14:paraId="3EE2AF8A" w14:textId="529B1496" w:rsidR="008446AB" w:rsidRDefault="008446AB" w:rsidP="008446AB">
      <w:pPr>
        <w:spacing w:after="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 xml:space="preserve">This is the approved action plan for [company name] for the purposes of the Fisheries (Conservation and Management) Ordinance 2005. </w:t>
      </w:r>
    </w:p>
    <w:p w14:paraId="22718F1E" w14:textId="77777777" w:rsidR="008446AB" w:rsidRPr="008446AB" w:rsidRDefault="008446AB" w:rsidP="008446AB">
      <w:pPr>
        <w:spacing w:after="0"/>
        <w:rPr>
          <w:rFonts w:ascii="Times New Roman" w:eastAsia="Times New Roman" w:hAnsi="Times New Roman" w:cs="Times New Roman"/>
          <w:sz w:val="24"/>
          <w:szCs w:val="24"/>
        </w:rPr>
      </w:pPr>
    </w:p>
    <w:p w14:paraId="3DA1083B" w14:textId="798C3674" w:rsidR="008446AB" w:rsidRDefault="008446AB" w:rsidP="008446AB">
      <w:pPr>
        <w:spacing w:after="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[Company name] agrees to the following obligations:</w:t>
      </w:r>
    </w:p>
    <w:p w14:paraId="13120810" w14:textId="77777777" w:rsidR="008446AB" w:rsidRPr="008446AB" w:rsidRDefault="008446AB" w:rsidP="008446AB">
      <w:pPr>
        <w:spacing w:after="0"/>
        <w:rPr>
          <w:rFonts w:ascii="Times New Roman" w:eastAsia="Times New Roman" w:hAnsi="Times New Roman" w:cs="Times New Roman"/>
          <w:sz w:val="24"/>
          <w:szCs w:val="24"/>
        </w:rPr>
      </w:pPr>
    </w:p>
    <w:p w14:paraId="16AA9926" w14:textId="4BB3C339" w:rsidR="008446AB" w:rsidRPr="005422AA" w:rsidRDefault="008446AB" w:rsidP="005422AA">
      <w:pPr>
        <w:pStyle w:val="ListParagraph"/>
        <w:numPr>
          <w:ilvl w:val="0"/>
          <w:numId w:val="22"/>
        </w:numPr>
        <w:spacing w:line="240" w:lineRule="auto"/>
        <w:contextualSpacing w:val="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Goal</w:t>
      </w:r>
      <w:r w:rsidRPr="008446AB">
        <w:rPr>
          <w:rFonts w:ascii="Times New Roman" w:eastAsia="Times New Roman" w:hAnsi="Times New Roman" w:cs="Times New Roman"/>
          <w:sz w:val="24"/>
          <w:szCs w:val="24"/>
        </w:rPr>
        <w:t>: Building a competitive and successful seafood sector by delivering sustainable, profitable and socially beneficial outcomes through economic leadership, strategic investment and fostering an innovative and sustainable sector of the Falklands economy.</w:t>
      </w:r>
    </w:p>
    <w:p w14:paraId="441630A1" w14:textId="135A3FD9" w:rsidR="005422AA" w:rsidRPr="005422AA" w:rsidRDefault="008446AB" w:rsidP="005422AA">
      <w:pPr>
        <w:pStyle w:val="ListParagraph"/>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Target</w:t>
      </w:r>
      <w:r w:rsidRPr="008446AB">
        <w:rPr>
          <w:rFonts w:ascii="Times New Roman" w:eastAsia="Times New Roman" w:hAnsi="Times New Roman" w:cs="Times New Roman"/>
          <w:sz w:val="24"/>
          <w:szCs w:val="24"/>
        </w:rPr>
        <w:t>: Be a signatory of the FIG-FIFCA Accord Action Plan and commit to supporting the delivery of its goals.</w:t>
      </w:r>
    </w:p>
    <w:p w14:paraId="6B005FC2" w14:textId="4E90F9ED" w:rsidR="008446AB" w:rsidRPr="008446AB" w:rsidRDefault="008446AB" w:rsidP="005422AA">
      <w:pPr>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 xml:space="preserve">Annual </w:t>
      </w:r>
      <w:r w:rsidR="00EA2BC8">
        <w:rPr>
          <w:rFonts w:ascii="Times New Roman" w:eastAsia="Times New Roman" w:hAnsi="Times New Roman" w:cs="Times New Roman"/>
          <w:sz w:val="24"/>
          <w:szCs w:val="24"/>
          <w:u w:val="single"/>
        </w:rPr>
        <w:t>m</w:t>
      </w:r>
      <w:r w:rsidRPr="008446AB">
        <w:rPr>
          <w:rFonts w:ascii="Times New Roman" w:eastAsia="Times New Roman" w:hAnsi="Times New Roman" w:cs="Times New Roman"/>
          <w:sz w:val="24"/>
          <w:szCs w:val="24"/>
          <w:u w:val="single"/>
        </w:rPr>
        <w:t>ilestone</w:t>
      </w:r>
      <w:r w:rsidRPr="008446AB">
        <w:rPr>
          <w:rFonts w:ascii="Times New Roman" w:eastAsia="Times New Roman" w:hAnsi="Times New Roman" w:cs="Times New Roman"/>
          <w:sz w:val="24"/>
          <w:szCs w:val="24"/>
        </w:rPr>
        <w:t>: Continue to support the delivery of the FIG-FIFCA Accord Action Plan.</w:t>
      </w:r>
    </w:p>
    <w:p w14:paraId="086673F7" w14:textId="77777777" w:rsidR="008446AB" w:rsidRPr="008446AB" w:rsidRDefault="008446AB" w:rsidP="005422AA">
      <w:pPr>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Annual review</w:t>
      </w:r>
      <w:r w:rsidRPr="008446AB">
        <w:rPr>
          <w:rFonts w:ascii="Times New Roman" w:eastAsia="Times New Roman" w:hAnsi="Times New Roman" w:cs="Times New Roman"/>
          <w:sz w:val="24"/>
          <w:szCs w:val="24"/>
        </w:rPr>
        <w:t>: Each year, the company must provide a written statement of how it has supported the FIG-FIFCA Accord Action Plan.</w:t>
      </w:r>
    </w:p>
    <w:p w14:paraId="5D7B8027" w14:textId="77777777" w:rsidR="008446AB" w:rsidRPr="008446AB" w:rsidRDefault="008446AB" w:rsidP="008446AB">
      <w:pPr>
        <w:spacing w:after="0"/>
        <w:rPr>
          <w:rFonts w:ascii="Times New Roman" w:eastAsia="Times New Roman" w:hAnsi="Times New Roman" w:cs="Times New Roman"/>
          <w:sz w:val="24"/>
          <w:szCs w:val="24"/>
        </w:rPr>
      </w:pPr>
    </w:p>
    <w:p w14:paraId="4DA986A5" w14:textId="040ACB76" w:rsidR="008446AB" w:rsidRPr="005422AA" w:rsidRDefault="008446AB" w:rsidP="005422AA">
      <w:pPr>
        <w:pStyle w:val="ListParagraph"/>
        <w:numPr>
          <w:ilvl w:val="0"/>
          <w:numId w:val="22"/>
        </w:numPr>
        <w:spacing w:line="240" w:lineRule="auto"/>
        <w:contextualSpacing w:val="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Goal</w:t>
      </w:r>
      <w:r w:rsidRPr="008446AB">
        <w:rPr>
          <w:rFonts w:ascii="Times New Roman" w:eastAsia="Times New Roman" w:hAnsi="Times New Roman" w:cs="Times New Roman"/>
          <w:sz w:val="24"/>
          <w:szCs w:val="24"/>
        </w:rPr>
        <w:t>: Building a competitive and successful seafood sector by delivering sustainable, profitable and socially beneficial outcomes through economic leadership, strategic investment and fostering an innovative and sustainable sector of the Falklands economy.</w:t>
      </w:r>
    </w:p>
    <w:p w14:paraId="27638A90" w14:textId="2A3BB258" w:rsidR="008446AB" w:rsidRPr="008446AB" w:rsidRDefault="008446AB" w:rsidP="005422AA">
      <w:pPr>
        <w:pStyle w:val="ListParagraph"/>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Target</w:t>
      </w:r>
      <w:r w:rsidRPr="008446AB">
        <w:rPr>
          <w:rFonts w:ascii="Times New Roman" w:eastAsia="Times New Roman" w:hAnsi="Times New Roman" w:cs="Times New Roman"/>
          <w:sz w:val="24"/>
          <w:szCs w:val="24"/>
        </w:rPr>
        <w:t>: Carry out transhipment to a domestic containerisation service over the port in Stanley, Falkland Islands.</w:t>
      </w:r>
    </w:p>
    <w:p w14:paraId="5B0361B6" w14:textId="69E9DF67" w:rsidR="005422AA" w:rsidRPr="008446AB" w:rsidRDefault="008446AB" w:rsidP="005422AA">
      <w:pPr>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Annual milestone</w:t>
      </w:r>
      <w:r w:rsidRPr="008446AB">
        <w:rPr>
          <w:rFonts w:ascii="Times New Roman" w:eastAsia="Times New Roman" w:hAnsi="Times New Roman" w:cs="Times New Roman"/>
          <w:sz w:val="24"/>
          <w:szCs w:val="24"/>
        </w:rPr>
        <w:t>: Each year the company must tranship the following percentage of its available product:</w:t>
      </w:r>
    </w:p>
    <w:tbl>
      <w:tblPr>
        <w:tblStyle w:val="TableGrid"/>
        <w:tblW w:w="0" w:type="auto"/>
        <w:tblInd w:w="720" w:type="dxa"/>
        <w:tblLook w:val="04A0" w:firstRow="1" w:lastRow="0" w:firstColumn="1" w:lastColumn="0" w:noHBand="0" w:noVBand="1"/>
      </w:tblPr>
      <w:tblGrid>
        <w:gridCol w:w="1260"/>
        <w:gridCol w:w="3260"/>
      </w:tblGrid>
      <w:tr w:rsidR="008446AB" w:rsidRPr="008446AB" w14:paraId="3257E828" w14:textId="77777777" w:rsidTr="00EA2BC8">
        <w:tc>
          <w:tcPr>
            <w:tcW w:w="1260" w:type="dxa"/>
          </w:tcPr>
          <w:p w14:paraId="4661DCA5" w14:textId="77777777" w:rsidR="008446AB" w:rsidRPr="008446AB" w:rsidRDefault="008446AB" w:rsidP="008446AB">
            <w:pPr>
              <w:pStyle w:val="ListParagraph"/>
              <w:ind w:left="0"/>
              <w:rPr>
                <w:rFonts w:ascii="Times New Roman" w:eastAsia="Times New Roman" w:hAnsi="Times New Roman" w:cs="Times New Roman"/>
                <w:b/>
                <w:sz w:val="24"/>
                <w:szCs w:val="24"/>
              </w:rPr>
            </w:pPr>
            <w:r w:rsidRPr="008446AB">
              <w:rPr>
                <w:rFonts w:ascii="Times New Roman" w:eastAsia="Times New Roman" w:hAnsi="Times New Roman" w:cs="Times New Roman"/>
                <w:b/>
                <w:sz w:val="24"/>
                <w:szCs w:val="24"/>
              </w:rPr>
              <w:t>Year</w:t>
            </w:r>
          </w:p>
        </w:tc>
        <w:tc>
          <w:tcPr>
            <w:tcW w:w="3260" w:type="dxa"/>
          </w:tcPr>
          <w:p w14:paraId="335A82C7" w14:textId="77777777" w:rsidR="008446AB" w:rsidRPr="008446AB" w:rsidRDefault="008446AB" w:rsidP="008446AB">
            <w:pPr>
              <w:pStyle w:val="ListParagraph"/>
              <w:ind w:left="0"/>
              <w:rPr>
                <w:rFonts w:ascii="Times New Roman" w:eastAsia="Times New Roman" w:hAnsi="Times New Roman" w:cs="Times New Roman"/>
                <w:b/>
                <w:sz w:val="24"/>
                <w:szCs w:val="24"/>
              </w:rPr>
            </w:pPr>
            <w:r w:rsidRPr="008446AB">
              <w:rPr>
                <w:rFonts w:ascii="Times New Roman" w:eastAsia="Times New Roman" w:hAnsi="Times New Roman" w:cs="Times New Roman"/>
                <w:b/>
                <w:sz w:val="24"/>
                <w:szCs w:val="24"/>
              </w:rPr>
              <w:t>Percent of Available Product</w:t>
            </w:r>
          </w:p>
        </w:tc>
      </w:tr>
      <w:tr w:rsidR="008446AB" w:rsidRPr="008446AB" w14:paraId="1CC1BFBE" w14:textId="77777777" w:rsidTr="00EA2BC8">
        <w:tc>
          <w:tcPr>
            <w:tcW w:w="1260" w:type="dxa"/>
          </w:tcPr>
          <w:p w14:paraId="71721487" w14:textId="77777777" w:rsidR="008446AB" w:rsidRPr="008446AB" w:rsidRDefault="008446AB" w:rsidP="008446AB">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2023</w:t>
            </w:r>
          </w:p>
        </w:tc>
        <w:tc>
          <w:tcPr>
            <w:tcW w:w="3260" w:type="dxa"/>
          </w:tcPr>
          <w:p w14:paraId="408A829E" w14:textId="77777777" w:rsidR="008446AB" w:rsidRPr="008446AB" w:rsidRDefault="008446AB" w:rsidP="008446AB">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30</w:t>
            </w:r>
          </w:p>
        </w:tc>
      </w:tr>
      <w:tr w:rsidR="008446AB" w:rsidRPr="008446AB" w14:paraId="243E65BD" w14:textId="77777777" w:rsidTr="00EA2BC8">
        <w:tc>
          <w:tcPr>
            <w:tcW w:w="1260" w:type="dxa"/>
          </w:tcPr>
          <w:p w14:paraId="4FE5956B" w14:textId="77777777" w:rsidR="008446AB" w:rsidRPr="008446AB" w:rsidRDefault="008446AB" w:rsidP="008446AB">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2024</w:t>
            </w:r>
          </w:p>
        </w:tc>
        <w:tc>
          <w:tcPr>
            <w:tcW w:w="3260" w:type="dxa"/>
          </w:tcPr>
          <w:p w14:paraId="35A208F5" w14:textId="77777777" w:rsidR="008446AB" w:rsidRPr="008446AB" w:rsidRDefault="008446AB" w:rsidP="008446AB">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30</w:t>
            </w:r>
          </w:p>
        </w:tc>
      </w:tr>
      <w:tr w:rsidR="008446AB" w:rsidRPr="008446AB" w14:paraId="4AD2741D" w14:textId="77777777" w:rsidTr="00EA2BC8">
        <w:tc>
          <w:tcPr>
            <w:tcW w:w="1260" w:type="dxa"/>
          </w:tcPr>
          <w:p w14:paraId="08D1C91F" w14:textId="77777777" w:rsidR="008446AB" w:rsidRPr="008446AB" w:rsidRDefault="008446AB" w:rsidP="008446AB">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2025</w:t>
            </w:r>
          </w:p>
        </w:tc>
        <w:tc>
          <w:tcPr>
            <w:tcW w:w="3260" w:type="dxa"/>
          </w:tcPr>
          <w:p w14:paraId="731D6C58" w14:textId="77777777" w:rsidR="008446AB" w:rsidRPr="008446AB" w:rsidRDefault="008446AB" w:rsidP="008446AB">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32*</w:t>
            </w:r>
          </w:p>
        </w:tc>
      </w:tr>
      <w:tr w:rsidR="008446AB" w:rsidRPr="008446AB" w14:paraId="34EF57D8" w14:textId="77777777" w:rsidTr="00EA2BC8">
        <w:tc>
          <w:tcPr>
            <w:tcW w:w="1260" w:type="dxa"/>
          </w:tcPr>
          <w:p w14:paraId="06BD5807" w14:textId="77777777" w:rsidR="008446AB" w:rsidRPr="008446AB" w:rsidRDefault="008446AB" w:rsidP="008446AB">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2026</w:t>
            </w:r>
          </w:p>
        </w:tc>
        <w:tc>
          <w:tcPr>
            <w:tcW w:w="3260" w:type="dxa"/>
          </w:tcPr>
          <w:p w14:paraId="28E6AFB4" w14:textId="77777777" w:rsidR="008446AB" w:rsidRPr="008446AB" w:rsidRDefault="008446AB" w:rsidP="008446AB">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32*</w:t>
            </w:r>
          </w:p>
        </w:tc>
      </w:tr>
      <w:tr w:rsidR="008446AB" w:rsidRPr="008446AB" w14:paraId="741D2BD2" w14:textId="77777777" w:rsidTr="00EA2BC8">
        <w:tc>
          <w:tcPr>
            <w:tcW w:w="1260" w:type="dxa"/>
          </w:tcPr>
          <w:p w14:paraId="5D09CFEF" w14:textId="77777777" w:rsidR="008446AB" w:rsidRPr="008446AB" w:rsidRDefault="008446AB" w:rsidP="008446AB">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2027</w:t>
            </w:r>
          </w:p>
        </w:tc>
        <w:tc>
          <w:tcPr>
            <w:tcW w:w="3260" w:type="dxa"/>
          </w:tcPr>
          <w:p w14:paraId="5C7AF530" w14:textId="77777777" w:rsidR="008446AB" w:rsidRPr="008446AB" w:rsidRDefault="008446AB" w:rsidP="008446AB">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34*</w:t>
            </w:r>
          </w:p>
        </w:tc>
      </w:tr>
      <w:tr w:rsidR="008446AB" w:rsidRPr="008446AB" w14:paraId="2B5DB639" w14:textId="77777777" w:rsidTr="00EA2BC8">
        <w:tc>
          <w:tcPr>
            <w:tcW w:w="1260" w:type="dxa"/>
          </w:tcPr>
          <w:p w14:paraId="1E26FB05" w14:textId="77777777" w:rsidR="008446AB" w:rsidRPr="008446AB" w:rsidRDefault="008446AB" w:rsidP="008446AB">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2028</w:t>
            </w:r>
          </w:p>
        </w:tc>
        <w:tc>
          <w:tcPr>
            <w:tcW w:w="3260" w:type="dxa"/>
          </w:tcPr>
          <w:p w14:paraId="5878BFAA" w14:textId="77777777" w:rsidR="008446AB" w:rsidRPr="008446AB" w:rsidRDefault="008446AB" w:rsidP="008446AB">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34*</w:t>
            </w:r>
          </w:p>
        </w:tc>
      </w:tr>
    </w:tbl>
    <w:p w14:paraId="45247DE7" w14:textId="77777777" w:rsidR="008446AB" w:rsidRPr="008446AB" w:rsidRDefault="008446AB" w:rsidP="008446AB">
      <w:pPr>
        <w:spacing w:after="0"/>
        <w:rPr>
          <w:rFonts w:ascii="Times New Roman" w:hAnsi="Times New Roman" w:cs="Times New Roman"/>
          <w:sz w:val="24"/>
          <w:szCs w:val="24"/>
        </w:rPr>
      </w:pPr>
      <w:r w:rsidRPr="008446AB">
        <w:rPr>
          <w:rFonts w:ascii="Times New Roman" w:hAnsi="Times New Roman" w:cs="Times New Roman"/>
          <w:sz w:val="24"/>
          <w:szCs w:val="24"/>
        </w:rPr>
        <w:tab/>
      </w:r>
    </w:p>
    <w:p w14:paraId="0146C394" w14:textId="5C5B9300" w:rsidR="008446AB" w:rsidRPr="005422AA" w:rsidRDefault="008446AB" w:rsidP="005422AA">
      <w:pPr>
        <w:ind w:left="720"/>
        <w:rPr>
          <w:rFonts w:ascii="Times New Roman" w:hAnsi="Times New Roman" w:cs="Times New Roman"/>
          <w:sz w:val="24"/>
          <w:szCs w:val="24"/>
        </w:rPr>
      </w:pPr>
      <w:r w:rsidRPr="008446AB">
        <w:rPr>
          <w:rFonts w:ascii="Times New Roman" w:hAnsi="Times New Roman" w:cs="Times New Roman"/>
          <w:sz w:val="24"/>
          <w:szCs w:val="24"/>
        </w:rPr>
        <w:lastRenderedPageBreak/>
        <w:t>*If the new port is not operational the % will remain at 30, when the new port is available the percent changes will start in the following year, rising by 2% every 2 years.</w:t>
      </w:r>
      <w:r w:rsidRPr="005422AA">
        <w:rPr>
          <w:rFonts w:ascii="Times New Roman" w:hAnsi="Times New Roman" w:cs="Times New Roman"/>
          <w:sz w:val="24"/>
          <w:szCs w:val="24"/>
        </w:rPr>
        <w:tab/>
      </w:r>
    </w:p>
    <w:p w14:paraId="12C9BBC4" w14:textId="77777777" w:rsidR="008446AB" w:rsidRPr="008446AB" w:rsidRDefault="008446AB" w:rsidP="008446AB">
      <w:pPr>
        <w:pStyle w:val="ListParagraph"/>
        <w:spacing w:after="0"/>
        <w:ind w:left="360"/>
        <w:rPr>
          <w:rFonts w:ascii="Times New Roman" w:hAnsi="Times New Roman" w:cs="Times New Roman"/>
          <w:sz w:val="24"/>
          <w:szCs w:val="24"/>
        </w:rPr>
      </w:pPr>
      <w:r w:rsidRPr="008446AB">
        <w:rPr>
          <w:rFonts w:ascii="Times New Roman" w:hAnsi="Times New Roman" w:cs="Times New Roman"/>
          <w:sz w:val="24"/>
          <w:szCs w:val="24"/>
          <w:u w:val="single"/>
        </w:rPr>
        <w:t>Annual review</w:t>
      </w:r>
      <w:r w:rsidRPr="008446AB">
        <w:rPr>
          <w:rFonts w:ascii="Times New Roman" w:hAnsi="Times New Roman" w:cs="Times New Roman"/>
          <w:sz w:val="24"/>
          <w:szCs w:val="24"/>
        </w:rPr>
        <w:t>: Company will provide an annual return with the following data: MT of product landed; MT of transhipped product; MT of traded product; this will be cross checked against FIFD data.</w:t>
      </w:r>
    </w:p>
    <w:p w14:paraId="60350E1E" w14:textId="77777777" w:rsidR="008446AB" w:rsidRPr="008446AB" w:rsidRDefault="008446AB" w:rsidP="008446AB">
      <w:pPr>
        <w:pStyle w:val="ListParagraph"/>
        <w:spacing w:after="0"/>
        <w:ind w:left="360"/>
        <w:rPr>
          <w:rFonts w:ascii="Times New Roman" w:hAnsi="Times New Roman" w:cs="Times New Roman"/>
          <w:sz w:val="24"/>
          <w:szCs w:val="24"/>
        </w:rPr>
      </w:pPr>
    </w:p>
    <w:p w14:paraId="2BE43A74" w14:textId="2FC7AED1" w:rsidR="008446AB" w:rsidRPr="005422AA" w:rsidRDefault="008446AB" w:rsidP="005422AA">
      <w:pPr>
        <w:pStyle w:val="ListParagraph"/>
        <w:numPr>
          <w:ilvl w:val="0"/>
          <w:numId w:val="22"/>
        </w:numPr>
        <w:spacing w:line="240" w:lineRule="auto"/>
        <w:contextualSpacing w:val="0"/>
        <w:rPr>
          <w:rFonts w:ascii="Times New Roman" w:eastAsia="Times New Roman" w:hAnsi="Times New Roman" w:cs="Times New Roman"/>
          <w:color w:val="000000"/>
          <w:sz w:val="24"/>
          <w:szCs w:val="24"/>
          <w:lang w:eastAsia="en-GB"/>
        </w:rPr>
      </w:pPr>
      <w:r w:rsidRPr="008446AB">
        <w:rPr>
          <w:rFonts w:ascii="Times New Roman" w:eastAsia="Times New Roman" w:hAnsi="Times New Roman" w:cs="Times New Roman"/>
          <w:sz w:val="24"/>
          <w:szCs w:val="24"/>
          <w:u w:val="single"/>
        </w:rPr>
        <w:t>Goal</w:t>
      </w:r>
      <w:r w:rsidRPr="008446AB">
        <w:rPr>
          <w:rFonts w:ascii="Times New Roman" w:eastAsia="Times New Roman" w:hAnsi="Times New Roman" w:cs="Times New Roman"/>
          <w:sz w:val="24"/>
          <w:szCs w:val="24"/>
        </w:rPr>
        <w:t xml:space="preserve">: Caring for our community by </w:t>
      </w:r>
      <w:r w:rsidRPr="008446AB">
        <w:rPr>
          <w:rFonts w:ascii="Times New Roman" w:eastAsia="Times New Roman" w:hAnsi="Times New Roman" w:cs="Times New Roman"/>
          <w:color w:val="000000"/>
          <w:sz w:val="24"/>
          <w:szCs w:val="24"/>
          <w:lang w:eastAsia="en-GB"/>
        </w:rPr>
        <w:t>creating business, employment and skills opportunities, coupled with our commitment to the Falkland Islands community, ensure the sector delivers a positive social contribution.</w:t>
      </w:r>
    </w:p>
    <w:p w14:paraId="2B77F8EE" w14:textId="1A8A4A3D" w:rsidR="008446AB" w:rsidRPr="005422AA" w:rsidRDefault="008446AB" w:rsidP="005422AA">
      <w:pPr>
        <w:pStyle w:val="ListParagraph"/>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Target</w:t>
      </w:r>
      <w:r w:rsidRPr="008446AB">
        <w:rPr>
          <w:rFonts w:ascii="Times New Roman" w:eastAsia="Times New Roman" w:hAnsi="Times New Roman" w:cs="Times New Roman"/>
          <w:sz w:val="24"/>
          <w:szCs w:val="24"/>
        </w:rPr>
        <w:t xml:space="preserve">: Specified contribution to the FIFCA Community Fund or equivalent. </w:t>
      </w:r>
    </w:p>
    <w:p w14:paraId="65D73E7A" w14:textId="464ED67C" w:rsidR="008446AB" w:rsidRPr="008446AB" w:rsidRDefault="008446AB" w:rsidP="005422AA">
      <w:pPr>
        <w:ind w:left="360"/>
        <w:rPr>
          <w:rFonts w:ascii="Times New Roman" w:hAnsi="Times New Roman" w:cs="Times New Roman"/>
          <w:sz w:val="24"/>
          <w:szCs w:val="24"/>
        </w:rPr>
      </w:pPr>
      <w:r w:rsidRPr="008446AB">
        <w:rPr>
          <w:rFonts w:ascii="Times New Roman" w:hAnsi="Times New Roman" w:cs="Times New Roman"/>
          <w:sz w:val="24"/>
          <w:szCs w:val="24"/>
          <w:u w:val="single"/>
        </w:rPr>
        <w:t>Annual milestone</w:t>
      </w:r>
      <w:r w:rsidRPr="008446AB">
        <w:rPr>
          <w:rFonts w:ascii="Times New Roman" w:hAnsi="Times New Roman" w:cs="Times New Roman"/>
          <w:sz w:val="24"/>
          <w:szCs w:val="24"/>
        </w:rPr>
        <w:t>: A contribution to the FIFCA Community Fund or equivalent will be required for all ITQB Eligible Companies. The minimum annual contributions of all ITQB holding companies to the FIFCA Community Fund will amount to a total of £50,000. Each company’s individual contribution will be calculated by FIFCA.</w:t>
      </w:r>
    </w:p>
    <w:p w14:paraId="38479B22" w14:textId="3033E4C3" w:rsidR="008446AB" w:rsidRPr="008446AB" w:rsidRDefault="008446AB" w:rsidP="005422AA">
      <w:pPr>
        <w:ind w:left="360"/>
        <w:rPr>
          <w:rFonts w:ascii="Times New Roman" w:hAnsi="Times New Roman" w:cs="Times New Roman"/>
          <w:sz w:val="24"/>
          <w:szCs w:val="24"/>
        </w:rPr>
      </w:pPr>
      <w:r w:rsidRPr="008446AB">
        <w:rPr>
          <w:rFonts w:ascii="Times New Roman" w:hAnsi="Times New Roman" w:cs="Times New Roman"/>
          <w:sz w:val="24"/>
          <w:szCs w:val="24"/>
          <w:u w:val="single"/>
        </w:rPr>
        <w:t>Annual review</w:t>
      </w:r>
      <w:r w:rsidRPr="008446AB">
        <w:rPr>
          <w:rFonts w:ascii="Times New Roman" w:hAnsi="Times New Roman" w:cs="Times New Roman"/>
          <w:sz w:val="24"/>
          <w:szCs w:val="24"/>
        </w:rPr>
        <w:t>: Please provide evidence of your contribution in your annual declaration</w:t>
      </w:r>
    </w:p>
    <w:p w14:paraId="2E17301C" w14:textId="77777777" w:rsidR="008446AB" w:rsidRPr="008446AB" w:rsidRDefault="008446AB" w:rsidP="005422AA">
      <w:pPr>
        <w:ind w:left="360"/>
        <w:rPr>
          <w:rFonts w:ascii="Times New Roman" w:hAnsi="Times New Roman" w:cs="Times New Roman"/>
          <w:sz w:val="24"/>
          <w:szCs w:val="24"/>
        </w:rPr>
      </w:pPr>
      <w:r w:rsidRPr="008446AB">
        <w:rPr>
          <w:rFonts w:ascii="Times New Roman" w:hAnsi="Times New Roman" w:cs="Times New Roman"/>
          <w:sz w:val="24"/>
          <w:szCs w:val="24"/>
        </w:rPr>
        <w:t>Companies that have their own arrangements for contributions towards community projects must demonstrate the contribution they made over the course of the year as part of the annual review.</w:t>
      </w:r>
    </w:p>
    <w:p w14:paraId="4A9D63F5" w14:textId="77777777" w:rsidR="008446AB" w:rsidRPr="008446AB" w:rsidRDefault="008446AB" w:rsidP="008446AB">
      <w:pPr>
        <w:spacing w:after="0"/>
        <w:ind w:left="720"/>
        <w:rPr>
          <w:rFonts w:ascii="Times New Roman" w:hAnsi="Times New Roman" w:cs="Times New Roman"/>
          <w:sz w:val="24"/>
          <w:szCs w:val="24"/>
        </w:rPr>
      </w:pPr>
    </w:p>
    <w:p w14:paraId="7EFB5B53" w14:textId="772B4C61" w:rsidR="008446AB" w:rsidRPr="005422AA" w:rsidRDefault="008446AB" w:rsidP="005422AA">
      <w:pPr>
        <w:pStyle w:val="ListParagraph"/>
        <w:numPr>
          <w:ilvl w:val="0"/>
          <w:numId w:val="22"/>
        </w:numPr>
        <w:spacing w:line="240" w:lineRule="auto"/>
        <w:contextualSpacing w:val="0"/>
        <w:rPr>
          <w:rFonts w:ascii="Times New Roman" w:hAnsi="Times New Roman" w:cs="Times New Roman"/>
          <w:sz w:val="24"/>
          <w:szCs w:val="24"/>
        </w:rPr>
      </w:pPr>
      <w:r w:rsidRPr="008446AB">
        <w:rPr>
          <w:rFonts w:ascii="Times New Roman" w:eastAsia="Times New Roman" w:hAnsi="Times New Roman" w:cs="Times New Roman"/>
          <w:sz w:val="24"/>
          <w:szCs w:val="24"/>
          <w:u w:val="single"/>
        </w:rPr>
        <w:t>Goal</w:t>
      </w:r>
      <w:r w:rsidRPr="008446AB">
        <w:rPr>
          <w:rFonts w:ascii="Times New Roman" w:eastAsia="Times New Roman" w:hAnsi="Times New Roman" w:cs="Times New Roman"/>
          <w:sz w:val="24"/>
          <w:szCs w:val="24"/>
        </w:rPr>
        <w:t>: Caring for our Community by earning and retaining our social licence to operate through respect and support of our Falkland Islands communities. Where possible, we will create local business, employment and skills development opportunities.</w:t>
      </w:r>
    </w:p>
    <w:p w14:paraId="61FDB4C6" w14:textId="6791F370" w:rsidR="008446AB" w:rsidRPr="005422AA" w:rsidRDefault="008446AB" w:rsidP="005422AA">
      <w:pPr>
        <w:ind w:left="360"/>
        <w:rPr>
          <w:rFonts w:ascii="Times New Roman" w:hAnsi="Times New Roman" w:cs="Times New Roman"/>
          <w:sz w:val="24"/>
          <w:szCs w:val="24"/>
        </w:rPr>
      </w:pPr>
      <w:r w:rsidRPr="005422AA">
        <w:rPr>
          <w:rFonts w:ascii="Times New Roman" w:hAnsi="Times New Roman" w:cs="Times New Roman"/>
          <w:sz w:val="24"/>
          <w:szCs w:val="24"/>
          <w:u w:val="single"/>
        </w:rPr>
        <w:t>Target</w:t>
      </w:r>
      <w:r w:rsidRPr="005422AA">
        <w:rPr>
          <w:rFonts w:ascii="Times New Roman" w:hAnsi="Times New Roman" w:cs="Times New Roman"/>
          <w:sz w:val="24"/>
          <w:szCs w:val="24"/>
        </w:rPr>
        <w:t>: Build an accurate understanding of the extent that the company contributes to</w:t>
      </w:r>
      <w:r w:rsidRPr="008446AB">
        <w:rPr>
          <w:rFonts w:ascii="Times New Roman" w:hAnsi="Times New Roman" w:cs="Times New Roman"/>
          <w:sz w:val="24"/>
          <w:szCs w:val="24"/>
        </w:rPr>
        <w:t xml:space="preserve"> the local economy.</w:t>
      </w:r>
    </w:p>
    <w:p w14:paraId="54C70CD9" w14:textId="6AD60E23" w:rsidR="008446AB" w:rsidRPr="005422AA" w:rsidRDefault="008446AB" w:rsidP="005422AA">
      <w:pPr>
        <w:ind w:left="360"/>
        <w:rPr>
          <w:rFonts w:ascii="Times New Roman" w:hAnsi="Times New Roman" w:cs="Times New Roman"/>
          <w:sz w:val="24"/>
          <w:szCs w:val="24"/>
        </w:rPr>
      </w:pPr>
      <w:r w:rsidRPr="005422AA">
        <w:rPr>
          <w:rFonts w:ascii="Times New Roman" w:hAnsi="Times New Roman" w:cs="Times New Roman"/>
          <w:sz w:val="24"/>
          <w:szCs w:val="24"/>
          <w:u w:val="single"/>
        </w:rPr>
        <w:t>Annual milestone</w:t>
      </w:r>
      <w:r w:rsidRPr="008446AB">
        <w:rPr>
          <w:rFonts w:ascii="Times New Roman" w:hAnsi="Times New Roman" w:cs="Times New Roman"/>
          <w:sz w:val="24"/>
          <w:szCs w:val="24"/>
        </w:rPr>
        <w:t xml:space="preserve">: Submission of a report summarising the value that the company contributes to the local economy, on an annual basis. </w:t>
      </w:r>
    </w:p>
    <w:p w14:paraId="1BB07BD1" w14:textId="6768C412" w:rsidR="008446AB" w:rsidRPr="005422AA" w:rsidRDefault="008446AB" w:rsidP="005422AA">
      <w:pPr>
        <w:ind w:left="360"/>
        <w:rPr>
          <w:rFonts w:ascii="Times New Roman" w:hAnsi="Times New Roman" w:cs="Times New Roman"/>
          <w:sz w:val="24"/>
          <w:szCs w:val="24"/>
        </w:rPr>
      </w:pPr>
      <w:r w:rsidRPr="005422AA">
        <w:rPr>
          <w:rFonts w:ascii="Times New Roman" w:hAnsi="Times New Roman" w:cs="Times New Roman"/>
          <w:sz w:val="24"/>
          <w:szCs w:val="24"/>
          <w:u w:val="single"/>
        </w:rPr>
        <w:t>Annual review</w:t>
      </w:r>
      <w:r w:rsidRPr="008446AB">
        <w:rPr>
          <w:rFonts w:ascii="Times New Roman" w:hAnsi="Times New Roman" w:cs="Times New Roman"/>
          <w:sz w:val="24"/>
          <w:szCs w:val="24"/>
        </w:rPr>
        <w:t>: Companies should complete and submit the following table:</w:t>
      </w:r>
    </w:p>
    <w:tbl>
      <w:tblPr>
        <w:tblStyle w:val="TableGrid"/>
        <w:tblW w:w="9351" w:type="dxa"/>
        <w:tblLayout w:type="fixed"/>
        <w:tblLook w:val="04A0" w:firstRow="1" w:lastRow="0" w:firstColumn="1" w:lastColumn="0" w:noHBand="0" w:noVBand="1"/>
      </w:tblPr>
      <w:tblGrid>
        <w:gridCol w:w="2830"/>
        <w:gridCol w:w="1843"/>
        <w:gridCol w:w="2126"/>
        <w:gridCol w:w="284"/>
        <w:gridCol w:w="2268"/>
      </w:tblGrid>
      <w:tr w:rsidR="008446AB" w:rsidRPr="008446AB" w14:paraId="7E9B61C0" w14:textId="77777777" w:rsidTr="00EA2BC8">
        <w:trPr>
          <w:trHeight w:val="864"/>
        </w:trPr>
        <w:tc>
          <w:tcPr>
            <w:tcW w:w="2830" w:type="dxa"/>
            <w:noWrap/>
            <w:hideMark/>
          </w:tcPr>
          <w:p w14:paraId="71D1888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1843" w:type="dxa"/>
            <w:hideMark/>
          </w:tcPr>
          <w:p w14:paraId="0E6F062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Locally sourced goods, products &amp; services</w:t>
            </w:r>
          </w:p>
        </w:tc>
        <w:tc>
          <w:tcPr>
            <w:tcW w:w="2126" w:type="dxa"/>
            <w:hideMark/>
          </w:tcPr>
          <w:p w14:paraId="544AA8E7"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Notes (e.g. major supplier, etc.)</w:t>
            </w:r>
          </w:p>
        </w:tc>
        <w:tc>
          <w:tcPr>
            <w:tcW w:w="284" w:type="dxa"/>
            <w:noWrap/>
            <w:hideMark/>
          </w:tcPr>
          <w:p w14:paraId="4F3E975C" w14:textId="77777777" w:rsidR="008446AB" w:rsidRPr="008446AB" w:rsidRDefault="008446AB" w:rsidP="00EA2BC8">
            <w:pPr>
              <w:rPr>
                <w:rFonts w:ascii="Times New Roman" w:hAnsi="Times New Roman" w:cs="Times New Roman"/>
                <w:sz w:val="24"/>
                <w:szCs w:val="24"/>
              </w:rPr>
            </w:pPr>
          </w:p>
        </w:tc>
        <w:tc>
          <w:tcPr>
            <w:tcW w:w="2268" w:type="dxa"/>
            <w:hideMark/>
          </w:tcPr>
          <w:p w14:paraId="2F417E6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xml:space="preserve"> Other Notes </w:t>
            </w:r>
          </w:p>
        </w:tc>
      </w:tr>
      <w:tr w:rsidR="008446AB" w:rsidRPr="008446AB" w14:paraId="6986671D" w14:textId="77777777" w:rsidTr="00EA2BC8">
        <w:trPr>
          <w:trHeight w:val="288"/>
        </w:trPr>
        <w:tc>
          <w:tcPr>
            <w:tcW w:w="2830" w:type="dxa"/>
            <w:noWrap/>
            <w:hideMark/>
          </w:tcPr>
          <w:p w14:paraId="2A01FA43" w14:textId="77777777" w:rsidR="008446AB" w:rsidRPr="008446AB" w:rsidRDefault="008446AB" w:rsidP="00EA2BC8">
            <w:pPr>
              <w:rPr>
                <w:rFonts w:ascii="Times New Roman" w:hAnsi="Times New Roman" w:cs="Times New Roman"/>
                <w:sz w:val="24"/>
                <w:szCs w:val="24"/>
              </w:rPr>
            </w:pPr>
          </w:p>
        </w:tc>
        <w:tc>
          <w:tcPr>
            <w:tcW w:w="1843" w:type="dxa"/>
            <w:noWrap/>
            <w:hideMark/>
          </w:tcPr>
          <w:p w14:paraId="28EAAB64" w14:textId="77777777" w:rsidR="008446AB" w:rsidRPr="008446AB" w:rsidRDefault="008446AB" w:rsidP="00EA2BC8">
            <w:pPr>
              <w:rPr>
                <w:rFonts w:ascii="Times New Roman" w:hAnsi="Times New Roman" w:cs="Times New Roman"/>
                <w:sz w:val="24"/>
                <w:szCs w:val="24"/>
              </w:rPr>
            </w:pPr>
          </w:p>
        </w:tc>
        <w:tc>
          <w:tcPr>
            <w:tcW w:w="2126" w:type="dxa"/>
            <w:noWrap/>
            <w:hideMark/>
          </w:tcPr>
          <w:p w14:paraId="4DBDE701" w14:textId="77777777" w:rsidR="008446AB" w:rsidRPr="008446AB" w:rsidRDefault="008446AB" w:rsidP="00EA2BC8">
            <w:pPr>
              <w:rPr>
                <w:rFonts w:ascii="Times New Roman" w:hAnsi="Times New Roman" w:cs="Times New Roman"/>
                <w:sz w:val="24"/>
                <w:szCs w:val="24"/>
              </w:rPr>
            </w:pPr>
          </w:p>
        </w:tc>
        <w:tc>
          <w:tcPr>
            <w:tcW w:w="284" w:type="dxa"/>
            <w:noWrap/>
            <w:hideMark/>
          </w:tcPr>
          <w:p w14:paraId="0953FCBD" w14:textId="77777777" w:rsidR="008446AB" w:rsidRPr="008446AB" w:rsidRDefault="008446AB" w:rsidP="00EA2BC8">
            <w:pPr>
              <w:rPr>
                <w:rFonts w:ascii="Times New Roman" w:hAnsi="Times New Roman" w:cs="Times New Roman"/>
                <w:sz w:val="24"/>
                <w:szCs w:val="24"/>
              </w:rPr>
            </w:pPr>
          </w:p>
        </w:tc>
        <w:tc>
          <w:tcPr>
            <w:tcW w:w="2268" w:type="dxa"/>
            <w:noWrap/>
            <w:hideMark/>
          </w:tcPr>
          <w:p w14:paraId="76139D4C" w14:textId="77777777" w:rsidR="008446AB" w:rsidRPr="008446AB" w:rsidRDefault="008446AB" w:rsidP="00EA2BC8">
            <w:pPr>
              <w:rPr>
                <w:rFonts w:ascii="Times New Roman" w:hAnsi="Times New Roman" w:cs="Times New Roman"/>
                <w:sz w:val="24"/>
                <w:szCs w:val="24"/>
              </w:rPr>
            </w:pPr>
          </w:p>
        </w:tc>
      </w:tr>
      <w:tr w:rsidR="008446AB" w:rsidRPr="008446AB" w14:paraId="26F0499E" w14:textId="77777777" w:rsidTr="00EA2BC8">
        <w:trPr>
          <w:trHeight w:val="288"/>
        </w:trPr>
        <w:tc>
          <w:tcPr>
            <w:tcW w:w="2830" w:type="dxa"/>
            <w:noWrap/>
            <w:hideMark/>
          </w:tcPr>
          <w:p w14:paraId="642EC323"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Employment costs</w:t>
            </w:r>
          </w:p>
        </w:tc>
        <w:tc>
          <w:tcPr>
            <w:tcW w:w="1843" w:type="dxa"/>
            <w:hideMark/>
          </w:tcPr>
          <w:p w14:paraId="7100FC5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DDE762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A6734BE" w14:textId="77777777" w:rsidR="008446AB" w:rsidRPr="008446AB" w:rsidRDefault="008446AB" w:rsidP="00EA2BC8">
            <w:pPr>
              <w:rPr>
                <w:rFonts w:ascii="Times New Roman" w:hAnsi="Times New Roman" w:cs="Times New Roman"/>
                <w:sz w:val="24"/>
                <w:szCs w:val="24"/>
              </w:rPr>
            </w:pPr>
          </w:p>
        </w:tc>
        <w:tc>
          <w:tcPr>
            <w:tcW w:w="2268" w:type="dxa"/>
            <w:hideMark/>
          </w:tcPr>
          <w:p w14:paraId="145F4BE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2AF0022" w14:textId="77777777" w:rsidTr="00EA2BC8">
        <w:trPr>
          <w:trHeight w:val="288"/>
        </w:trPr>
        <w:tc>
          <w:tcPr>
            <w:tcW w:w="2830" w:type="dxa"/>
            <w:noWrap/>
            <w:hideMark/>
          </w:tcPr>
          <w:p w14:paraId="6B4504A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Wage and salaries (including directors' remuneration)</w:t>
            </w:r>
          </w:p>
        </w:tc>
        <w:tc>
          <w:tcPr>
            <w:tcW w:w="1843" w:type="dxa"/>
            <w:hideMark/>
          </w:tcPr>
          <w:p w14:paraId="51D0FEE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9CF6AE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5445C30" w14:textId="77777777" w:rsidR="008446AB" w:rsidRPr="008446AB" w:rsidRDefault="008446AB" w:rsidP="00EA2BC8">
            <w:pPr>
              <w:rPr>
                <w:rFonts w:ascii="Times New Roman" w:hAnsi="Times New Roman" w:cs="Times New Roman"/>
                <w:sz w:val="24"/>
                <w:szCs w:val="24"/>
              </w:rPr>
            </w:pPr>
          </w:p>
        </w:tc>
        <w:tc>
          <w:tcPr>
            <w:tcW w:w="2268" w:type="dxa"/>
            <w:hideMark/>
          </w:tcPr>
          <w:p w14:paraId="2A91491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075C6AD" w14:textId="77777777" w:rsidTr="00EA2BC8">
        <w:trPr>
          <w:trHeight w:val="288"/>
        </w:trPr>
        <w:tc>
          <w:tcPr>
            <w:tcW w:w="2830" w:type="dxa"/>
            <w:noWrap/>
            <w:hideMark/>
          </w:tcPr>
          <w:p w14:paraId="2EA4D1F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Recruitment costs</w:t>
            </w:r>
          </w:p>
        </w:tc>
        <w:tc>
          <w:tcPr>
            <w:tcW w:w="1843" w:type="dxa"/>
            <w:hideMark/>
          </w:tcPr>
          <w:p w14:paraId="04180B1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96E055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CD0875D" w14:textId="77777777" w:rsidR="008446AB" w:rsidRPr="008446AB" w:rsidRDefault="008446AB" w:rsidP="00EA2BC8">
            <w:pPr>
              <w:rPr>
                <w:rFonts w:ascii="Times New Roman" w:hAnsi="Times New Roman" w:cs="Times New Roman"/>
                <w:sz w:val="24"/>
                <w:szCs w:val="24"/>
              </w:rPr>
            </w:pPr>
          </w:p>
        </w:tc>
        <w:tc>
          <w:tcPr>
            <w:tcW w:w="2268" w:type="dxa"/>
            <w:hideMark/>
          </w:tcPr>
          <w:p w14:paraId="66E5FF08"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1725112A" w14:textId="77777777" w:rsidTr="00EA2BC8">
        <w:trPr>
          <w:trHeight w:val="288"/>
        </w:trPr>
        <w:tc>
          <w:tcPr>
            <w:tcW w:w="2830" w:type="dxa"/>
            <w:noWrap/>
            <w:hideMark/>
          </w:tcPr>
          <w:p w14:paraId="61539C7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Staff travel &amp; accommodation</w:t>
            </w:r>
          </w:p>
        </w:tc>
        <w:tc>
          <w:tcPr>
            <w:tcW w:w="1843" w:type="dxa"/>
            <w:hideMark/>
          </w:tcPr>
          <w:p w14:paraId="5FA71F6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96BC06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5C0118C" w14:textId="77777777" w:rsidR="008446AB" w:rsidRPr="008446AB" w:rsidRDefault="008446AB" w:rsidP="00EA2BC8">
            <w:pPr>
              <w:rPr>
                <w:rFonts w:ascii="Times New Roman" w:hAnsi="Times New Roman" w:cs="Times New Roman"/>
                <w:sz w:val="24"/>
                <w:szCs w:val="24"/>
              </w:rPr>
            </w:pPr>
          </w:p>
        </w:tc>
        <w:tc>
          <w:tcPr>
            <w:tcW w:w="2268" w:type="dxa"/>
            <w:hideMark/>
          </w:tcPr>
          <w:p w14:paraId="546DE63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283A750" w14:textId="77777777" w:rsidTr="00EA2BC8">
        <w:trPr>
          <w:trHeight w:val="288"/>
        </w:trPr>
        <w:tc>
          <w:tcPr>
            <w:tcW w:w="2830" w:type="dxa"/>
            <w:noWrap/>
            <w:hideMark/>
          </w:tcPr>
          <w:p w14:paraId="04103B8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Other staff &amp; crew costs</w:t>
            </w:r>
          </w:p>
        </w:tc>
        <w:tc>
          <w:tcPr>
            <w:tcW w:w="1843" w:type="dxa"/>
            <w:hideMark/>
          </w:tcPr>
          <w:p w14:paraId="7DC921A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81DF66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083110F" w14:textId="77777777" w:rsidR="008446AB" w:rsidRPr="008446AB" w:rsidRDefault="008446AB" w:rsidP="00EA2BC8">
            <w:pPr>
              <w:rPr>
                <w:rFonts w:ascii="Times New Roman" w:hAnsi="Times New Roman" w:cs="Times New Roman"/>
                <w:sz w:val="24"/>
                <w:szCs w:val="24"/>
              </w:rPr>
            </w:pPr>
          </w:p>
        </w:tc>
        <w:tc>
          <w:tcPr>
            <w:tcW w:w="2268" w:type="dxa"/>
            <w:hideMark/>
          </w:tcPr>
          <w:p w14:paraId="5F322A0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1AB1F78" w14:textId="77777777" w:rsidTr="00EA2BC8">
        <w:trPr>
          <w:trHeight w:val="288"/>
        </w:trPr>
        <w:tc>
          <w:tcPr>
            <w:tcW w:w="2830" w:type="dxa"/>
            <w:noWrap/>
            <w:hideMark/>
          </w:tcPr>
          <w:p w14:paraId="2FB66E32" w14:textId="77777777" w:rsidR="008446AB" w:rsidRPr="008446AB" w:rsidRDefault="008446AB" w:rsidP="00EA2BC8">
            <w:pPr>
              <w:rPr>
                <w:rFonts w:ascii="Times New Roman" w:hAnsi="Times New Roman" w:cs="Times New Roman"/>
                <w:sz w:val="24"/>
                <w:szCs w:val="24"/>
              </w:rPr>
            </w:pPr>
          </w:p>
        </w:tc>
        <w:tc>
          <w:tcPr>
            <w:tcW w:w="1843" w:type="dxa"/>
            <w:noWrap/>
            <w:hideMark/>
          </w:tcPr>
          <w:p w14:paraId="04AE4E9B" w14:textId="77777777" w:rsidR="008446AB" w:rsidRPr="008446AB" w:rsidRDefault="008446AB" w:rsidP="00EA2BC8">
            <w:pPr>
              <w:rPr>
                <w:rFonts w:ascii="Times New Roman" w:hAnsi="Times New Roman" w:cs="Times New Roman"/>
                <w:sz w:val="24"/>
                <w:szCs w:val="24"/>
              </w:rPr>
            </w:pPr>
          </w:p>
        </w:tc>
        <w:tc>
          <w:tcPr>
            <w:tcW w:w="2126" w:type="dxa"/>
            <w:noWrap/>
            <w:hideMark/>
          </w:tcPr>
          <w:p w14:paraId="2E0A4D00" w14:textId="77777777" w:rsidR="008446AB" w:rsidRPr="008446AB" w:rsidRDefault="008446AB" w:rsidP="00EA2BC8">
            <w:pPr>
              <w:rPr>
                <w:rFonts w:ascii="Times New Roman" w:hAnsi="Times New Roman" w:cs="Times New Roman"/>
                <w:sz w:val="24"/>
                <w:szCs w:val="24"/>
              </w:rPr>
            </w:pPr>
          </w:p>
        </w:tc>
        <w:tc>
          <w:tcPr>
            <w:tcW w:w="284" w:type="dxa"/>
            <w:noWrap/>
            <w:hideMark/>
          </w:tcPr>
          <w:p w14:paraId="5C38D7C8" w14:textId="77777777" w:rsidR="008446AB" w:rsidRPr="008446AB" w:rsidRDefault="008446AB" w:rsidP="00EA2BC8">
            <w:pPr>
              <w:rPr>
                <w:rFonts w:ascii="Times New Roman" w:hAnsi="Times New Roman" w:cs="Times New Roman"/>
                <w:sz w:val="24"/>
                <w:szCs w:val="24"/>
              </w:rPr>
            </w:pPr>
          </w:p>
        </w:tc>
        <w:tc>
          <w:tcPr>
            <w:tcW w:w="2268" w:type="dxa"/>
            <w:noWrap/>
            <w:hideMark/>
          </w:tcPr>
          <w:p w14:paraId="0BBB0B3F" w14:textId="77777777" w:rsidR="008446AB" w:rsidRPr="008446AB" w:rsidRDefault="008446AB" w:rsidP="00EA2BC8">
            <w:pPr>
              <w:rPr>
                <w:rFonts w:ascii="Times New Roman" w:hAnsi="Times New Roman" w:cs="Times New Roman"/>
                <w:sz w:val="24"/>
                <w:szCs w:val="24"/>
              </w:rPr>
            </w:pPr>
          </w:p>
        </w:tc>
      </w:tr>
      <w:tr w:rsidR="008446AB" w:rsidRPr="008446AB" w14:paraId="7D5F0471" w14:textId="77777777" w:rsidTr="00EA2BC8">
        <w:trPr>
          <w:trHeight w:val="288"/>
        </w:trPr>
        <w:tc>
          <w:tcPr>
            <w:tcW w:w="2830" w:type="dxa"/>
            <w:noWrap/>
            <w:hideMark/>
          </w:tcPr>
          <w:p w14:paraId="3CE2FF2F"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Production costs</w:t>
            </w:r>
          </w:p>
        </w:tc>
        <w:tc>
          <w:tcPr>
            <w:tcW w:w="1843" w:type="dxa"/>
            <w:hideMark/>
          </w:tcPr>
          <w:p w14:paraId="6B64779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84C49E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1BAD96F" w14:textId="77777777" w:rsidR="008446AB" w:rsidRPr="008446AB" w:rsidRDefault="008446AB" w:rsidP="00EA2BC8">
            <w:pPr>
              <w:rPr>
                <w:rFonts w:ascii="Times New Roman" w:hAnsi="Times New Roman" w:cs="Times New Roman"/>
                <w:sz w:val="24"/>
                <w:szCs w:val="24"/>
              </w:rPr>
            </w:pPr>
          </w:p>
        </w:tc>
        <w:tc>
          <w:tcPr>
            <w:tcW w:w="2268" w:type="dxa"/>
            <w:hideMark/>
          </w:tcPr>
          <w:p w14:paraId="283466F8"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4D105F4D" w14:textId="77777777" w:rsidTr="00EA2BC8">
        <w:trPr>
          <w:trHeight w:val="288"/>
        </w:trPr>
        <w:tc>
          <w:tcPr>
            <w:tcW w:w="2830" w:type="dxa"/>
            <w:noWrap/>
            <w:hideMark/>
          </w:tcPr>
          <w:p w14:paraId="413A66C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lastRenderedPageBreak/>
              <w:t>Charter expenses</w:t>
            </w:r>
          </w:p>
        </w:tc>
        <w:tc>
          <w:tcPr>
            <w:tcW w:w="1843" w:type="dxa"/>
            <w:hideMark/>
          </w:tcPr>
          <w:p w14:paraId="7885A05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965A88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BFE8156" w14:textId="77777777" w:rsidR="008446AB" w:rsidRPr="008446AB" w:rsidRDefault="008446AB" w:rsidP="00EA2BC8">
            <w:pPr>
              <w:rPr>
                <w:rFonts w:ascii="Times New Roman" w:hAnsi="Times New Roman" w:cs="Times New Roman"/>
                <w:sz w:val="24"/>
                <w:szCs w:val="24"/>
              </w:rPr>
            </w:pPr>
          </w:p>
        </w:tc>
        <w:tc>
          <w:tcPr>
            <w:tcW w:w="2268" w:type="dxa"/>
            <w:hideMark/>
          </w:tcPr>
          <w:p w14:paraId="3DB4684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11151A45" w14:textId="77777777" w:rsidTr="00EA2BC8">
        <w:trPr>
          <w:trHeight w:val="288"/>
        </w:trPr>
        <w:tc>
          <w:tcPr>
            <w:tcW w:w="2830" w:type="dxa"/>
            <w:noWrap/>
            <w:hideMark/>
          </w:tcPr>
          <w:p w14:paraId="0824F71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Equipment &amp; machinery (hire)</w:t>
            </w:r>
          </w:p>
        </w:tc>
        <w:tc>
          <w:tcPr>
            <w:tcW w:w="1843" w:type="dxa"/>
            <w:hideMark/>
          </w:tcPr>
          <w:p w14:paraId="0D274F2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815187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C5839AA" w14:textId="77777777" w:rsidR="008446AB" w:rsidRPr="008446AB" w:rsidRDefault="008446AB" w:rsidP="00EA2BC8">
            <w:pPr>
              <w:rPr>
                <w:rFonts w:ascii="Times New Roman" w:hAnsi="Times New Roman" w:cs="Times New Roman"/>
                <w:sz w:val="24"/>
                <w:szCs w:val="24"/>
              </w:rPr>
            </w:pPr>
          </w:p>
        </w:tc>
        <w:tc>
          <w:tcPr>
            <w:tcW w:w="2268" w:type="dxa"/>
            <w:hideMark/>
          </w:tcPr>
          <w:p w14:paraId="7FA8FD9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7EF3B092" w14:textId="77777777" w:rsidTr="00EA2BC8">
        <w:trPr>
          <w:trHeight w:val="288"/>
        </w:trPr>
        <w:tc>
          <w:tcPr>
            <w:tcW w:w="2830" w:type="dxa"/>
            <w:noWrap/>
            <w:hideMark/>
          </w:tcPr>
          <w:p w14:paraId="719D742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Equipment &amp; machinery (purchase)</w:t>
            </w:r>
          </w:p>
        </w:tc>
        <w:tc>
          <w:tcPr>
            <w:tcW w:w="1843" w:type="dxa"/>
            <w:hideMark/>
          </w:tcPr>
          <w:p w14:paraId="407DC0A7"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354A168"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0C0EB59" w14:textId="77777777" w:rsidR="008446AB" w:rsidRPr="008446AB" w:rsidRDefault="008446AB" w:rsidP="00EA2BC8">
            <w:pPr>
              <w:rPr>
                <w:rFonts w:ascii="Times New Roman" w:hAnsi="Times New Roman" w:cs="Times New Roman"/>
                <w:sz w:val="24"/>
                <w:szCs w:val="24"/>
              </w:rPr>
            </w:pPr>
          </w:p>
        </w:tc>
        <w:tc>
          <w:tcPr>
            <w:tcW w:w="2268" w:type="dxa"/>
            <w:hideMark/>
          </w:tcPr>
          <w:p w14:paraId="141183A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6BC25139" w14:textId="77777777" w:rsidTr="00EA2BC8">
        <w:trPr>
          <w:trHeight w:val="288"/>
        </w:trPr>
        <w:tc>
          <w:tcPr>
            <w:tcW w:w="2830" w:type="dxa"/>
            <w:noWrap/>
            <w:hideMark/>
          </w:tcPr>
          <w:p w14:paraId="65C9BF4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Consumables</w:t>
            </w:r>
          </w:p>
        </w:tc>
        <w:tc>
          <w:tcPr>
            <w:tcW w:w="1843" w:type="dxa"/>
            <w:hideMark/>
          </w:tcPr>
          <w:p w14:paraId="07BB285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20636A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36BFB0A" w14:textId="77777777" w:rsidR="008446AB" w:rsidRPr="008446AB" w:rsidRDefault="008446AB" w:rsidP="00EA2BC8">
            <w:pPr>
              <w:rPr>
                <w:rFonts w:ascii="Times New Roman" w:hAnsi="Times New Roman" w:cs="Times New Roman"/>
                <w:sz w:val="24"/>
                <w:szCs w:val="24"/>
              </w:rPr>
            </w:pPr>
          </w:p>
        </w:tc>
        <w:tc>
          <w:tcPr>
            <w:tcW w:w="2268" w:type="dxa"/>
            <w:hideMark/>
          </w:tcPr>
          <w:p w14:paraId="508A7BF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68F576C8" w14:textId="77777777" w:rsidTr="00EA2BC8">
        <w:trPr>
          <w:trHeight w:val="288"/>
        </w:trPr>
        <w:tc>
          <w:tcPr>
            <w:tcW w:w="2830" w:type="dxa"/>
            <w:noWrap/>
            <w:hideMark/>
          </w:tcPr>
          <w:p w14:paraId="18B2F52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Inspections and testing</w:t>
            </w:r>
          </w:p>
        </w:tc>
        <w:tc>
          <w:tcPr>
            <w:tcW w:w="1843" w:type="dxa"/>
            <w:hideMark/>
          </w:tcPr>
          <w:p w14:paraId="24731C4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F0FA99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6EA576E" w14:textId="77777777" w:rsidR="008446AB" w:rsidRPr="008446AB" w:rsidRDefault="008446AB" w:rsidP="00EA2BC8">
            <w:pPr>
              <w:rPr>
                <w:rFonts w:ascii="Times New Roman" w:hAnsi="Times New Roman" w:cs="Times New Roman"/>
                <w:sz w:val="24"/>
                <w:szCs w:val="24"/>
              </w:rPr>
            </w:pPr>
          </w:p>
        </w:tc>
        <w:tc>
          <w:tcPr>
            <w:tcW w:w="2268" w:type="dxa"/>
            <w:hideMark/>
          </w:tcPr>
          <w:p w14:paraId="2728F2C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0F6D6D4F" w14:textId="77777777" w:rsidTr="00EA2BC8">
        <w:trPr>
          <w:trHeight w:val="288"/>
        </w:trPr>
        <w:tc>
          <w:tcPr>
            <w:tcW w:w="2830" w:type="dxa"/>
            <w:noWrap/>
            <w:hideMark/>
          </w:tcPr>
          <w:p w14:paraId="2BDAB7F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Packaging</w:t>
            </w:r>
          </w:p>
        </w:tc>
        <w:tc>
          <w:tcPr>
            <w:tcW w:w="1843" w:type="dxa"/>
            <w:hideMark/>
          </w:tcPr>
          <w:p w14:paraId="00D13CE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61940A7"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1D23A5C" w14:textId="77777777" w:rsidR="008446AB" w:rsidRPr="008446AB" w:rsidRDefault="008446AB" w:rsidP="00EA2BC8">
            <w:pPr>
              <w:rPr>
                <w:rFonts w:ascii="Times New Roman" w:hAnsi="Times New Roman" w:cs="Times New Roman"/>
                <w:sz w:val="24"/>
                <w:szCs w:val="24"/>
              </w:rPr>
            </w:pPr>
          </w:p>
        </w:tc>
        <w:tc>
          <w:tcPr>
            <w:tcW w:w="2268" w:type="dxa"/>
            <w:hideMark/>
          </w:tcPr>
          <w:p w14:paraId="3915ABD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D093CFF" w14:textId="77777777" w:rsidTr="00EA2BC8">
        <w:trPr>
          <w:trHeight w:val="288"/>
        </w:trPr>
        <w:tc>
          <w:tcPr>
            <w:tcW w:w="2830" w:type="dxa"/>
            <w:noWrap/>
            <w:hideMark/>
          </w:tcPr>
          <w:p w14:paraId="7407374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Port costs</w:t>
            </w:r>
          </w:p>
        </w:tc>
        <w:tc>
          <w:tcPr>
            <w:tcW w:w="1843" w:type="dxa"/>
            <w:hideMark/>
          </w:tcPr>
          <w:p w14:paraId="53DFA45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5B13F0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BCCC990" w14:textId="77777777" w:rsidR="008446AB" w:rsidRPr="008446AB" w:rsidRDefault="008446AB" w:rsidP="00EA2BC8">
            <w:pPr>
              <w:rPr>
                <w:rFonts w:ascii="Times New Roman" w:hAnsi="Times New Roman" w:cs="Times New Roman"/>
                <w:sz w:val="24"/>
                <w:szCs w:val="24"/>
              </w:rPr>
            </w:pPr>
          </w:p>
        </w:tc>
        <w:tc>
          <w:tcPr>
            <w:tcW w:w="2268" w:type="dxa"/>
            <w:hideMark/>
          </w:tcPr>
          <w:p w14:paraId="3A5D6C1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4054A221" w14:textId="77777777" w:rsidTr="00EA2BC8">
        <w:trPr>
          <w:trHeight w:val="288"/>
        </w:trPr>
        <w:tc>
          <w:tcPr>
            <w:tcW w:w="2830" w:type="dxa"/>
            <w:noWrap/>
            <w:hideMark/>
          </w:tcPr>
          <w:p w14:paraId="5675DFC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Other production costs</w:t>
            </w:r>
          </w:p>
        </w:tc>
        <w:tc>
          <w:tcPr>
            <w:tcW w:w="1843" w:type="dxa"/>
            <w:hideMark/>
          </w:tcPr>
          <w:p w14:paraId="0316804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144EDD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C65A2E9" w14:textId="77777777" w:rsidR="008446AB" w:rsidRPr="008446AB" w:rsidRDefault="008446AB" w:rsidP="00EA2BC8">
            <w:pPr>
              <w:rPr>
                <w:rFonts w:ascii="Times New Roman" w:hAnsi="Times New Roman" w:cs="Times New Roman"/>
                <w:sz w:val="24"/>
                <w:szCs w:val="24"/>
              </w:rPr>
            </w:pPr>
          </w:p>
        </w:tc>
        <w:tc>
          <w:tcPr>
            <w:tcW w:w="2268" w:type="dxa"/>
            <w:hideMark/>
          </w:tcPr>
          <w:p w14:paraId="02277F8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3F72883" w14:textId="77777777" w:rsidTr="00EA2BC8">
        <w:trPr>
          <w:trHeight w:val="288"/>
        </w:trPr>
        <w:tc>
          <w:tcPr>
            <w:tcW w:w="2830" w:type="dxa"/>
            <w:noWrap/>
            <w:hideMark/>
          </w:tcPr>
          <w:p w14:paraId="09DCB365" w14:textId="77777777" w:rsidR="008446AB" w:rsidRPr="008446AB" w:rsidRDefault="008446AB" w:rsidP="00EA2BC8">
            <w:pPr>
              <w:rPr>
                <w:rFonts w:ascii="Times New Roman" w:hAnsi="Times New Roman" w:cs="Times New Roman"/>
                <w:sz w:val="24"/>
                <w:szCs w:val="24"/>
              </w:rPr>
            </w:pPr>
          </w:p>
        </w:tc>
        <w:tc>
          <w:tcPr>
            <w:tcW w:w="1843" w:type="dxa"/>
            <w:noWrap/>
            <w:hideMark/>
          </w:tcPr>
          <w:p w14:paraId="72DAE748" w14:textId="77777777" w:rsidR="008446AB" w:rsidRPr="008446AB" w:rsidRDefault="008446AB" w:rsidP="00EA2BC8">
            <w:pPr>
              <w:rPr>
                <w:rFonts w:ascii="Times New Roman" w:hAnsi="Times New Roman" w:cs="Times New Roman"/>
                <w:sz w:val="24"/>
                <w:szCs w:val="24"/>
              </w:rPr>
            </w:pPr>
          </w:p>
        </w:tc>
        <w:tc>
          <w:tcPr>
            <w:tcW w:w="2126" w:type="dxa"/>
            <w:noWrap/>
            <w:hideMark/>
          </w:tcPr>
          <w:p w14:paraId="52E79AD5" w14:textId="77777777" w:rsidR="008446AB" w:rsidRPr="008446AB" w:rsidRDefault="008446AB" w:rsidP="00EA2BC8">
            <w:pPr>
              <w:rPr>
                <w:rFonts w:ascii="Times New Roman" w:hAnsi="Times New Roman" w:cs="Times New Roman"/>
                <w:sz w:val="24"/>
                <w:szCs w:val="24"/>
              </w:rPr>
            </w:pPr>
          </w:p>
        </w:tc>
        <w:tc>
          <w:tcPr>
            <w:tcW w:w="284" w:type="dxa"/>
            <w:noWrap/>
            <w:hideMark/>
          </w:tcPr>
          <w:p w14:paraId="1A2BC9F4" w14:textId="77777777" w:rsidR="008446AB" w:rsidRPr="008446AB" w:rsidRDefault="008446AB" w:rsidP="00EA2BC8">
            <w:pPr>
              <w:rPr>
                <w:rFonts w:ascii="Times New Roman" w:hAnsi="Times New Roman" w:cs="Times New Roman"/>
                <w:sz w:val="24"/>
                <w:szCs w:val="24"/>
              </w:rPr>
            </w:pPr>
          </w:p>
        </w:tc>
        <w:tc>
          <w:tcPr>
            <w:tcW w:w="2268" w:type="dxa"/>
            <w:noWrap/>
            <w:hideMark/>
          </w:tcPr>
          <w:p w14:paraId="1CEF50B0" w14:textId="77777777" w:rsidR="008446AB" w:rsidRPr="008446AB" w:rsidRDefault="008446AB" w:rsidP="00EA2BC8">
            <w:pPr>
              <w:rPr>
                <w:rFonts w:ascii="Times New Roman" w:hAnsi="Times New Roman" w:cs="Times New Roman"/>
                <w:sz w:val="24"/>
                <w:szCs w:val="24"/>
              </w:rPr>
            </w:pPr>
          </w:p>
        </w:tc>
      </w:tr>
      <w:tr w:rsidR="008446AB" w:rsidRPr="008446AB" w14:paraId="0B50A81B" w14:textId="77777777" w:rsidTr="00EA2BC8">
        <w:trPr>
          <w:trHeight w:val="288"/>
        </w:trPr>
        <w:tc>
          <w:tcPr>
            <w:tcW w:w="2830" w:type="dxa"/>
            <w:noWrap/>
            <w:hideMark/>
          </w:tcPr>
          <w:p w14:paraId="5BD9E262"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Commissions &amp; fees</w:t>
            </w:r>
          </w:p>
        </w:tc>
        <w:tc>
          <w:tcPr>
            <w:tcW w:w="1843" w:type="dxa"/>
            <w:hideMark/>
          </w:tcPr>
          <w:p w14:paraId="50CEBDA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64F0A7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1511354" w14:textId="77777777" w:rsidR="008446AB" w:rsidRPr="008446AB" w:rsidRDefault="008446AB" w:rsidP="00EA2BC8">
            <w:pPr>
              <w:rPr>
                <w:rFonts w:ascii="Times New Roman" w:hAnsi="Times New Roman" w:cs="Times New Roman"/>
                <w:sz w:val="24"/>
                <w:szCs w:val="24"/>
              </w:rPr>
            </w:pPr>
          </w:p>
        </w:tc>
        <w:tc>
          <w:tcPr>
            <w:tcW w:w="2268" w:type="dxa"/>
            <w:hideMark/>
          </w:tcPr>
          <w:p w14:paraId="5E5F5BC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10D44756" w14:textId="77777777" w:rsidTr="00EA2BC8">
        <w:trPr>
          <w:trHeight w:val="288"/>
        </w:trPr>
        <w:tc>
          <w:tcPr>
            <w:tcW w:w="2830" w:type="dxa"/>
            <w:noWrap/>
            <w:hideMark/>
          </w:tcPr>
          <w:p w14:paraId="304DB9E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Management fees</w:t>
            </w:r>
          </w:p>
        </w:tc>
        <w:tc>
          <w:tcPr>
            <w:tcW w:w="1843" w:type="dxa"/>
            <w:hideMark/>
          </w:tcPr>
          <w:p w14:paraId="30E08458"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041DFC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A3213BA" w14:textId="77777777" w:rsidR="008446AB" w:rsidRPr="008446AB" w:rsidRDefault="008446AB" w:rsidP="00EA2BC8">
            <w:pPr>
              <w:rPr>
                <w:rFonts w:ascii="Times New Roman" w:hAnsi="Times New Roman" w:cs="Times New Roman"/>
                <w:sz w:val="24"/>
                <w:szCs w:val="24"/>
              </w:rPr>
            </w:pPr>
          </w:p>
        </w:tc>
        <w:tc>
          <w:tcPr>
            <w:tcW w:w="2268" w:type="dxa"/>
            <w:hideMark/>
          </w:tcPr>
          <w:p w14:paraId="1E2BC93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1BE3E01D" w14:textId="77777777" w:rsidTr="00EA2BC8">
        <w:trPr>
          <w:trHeight w:val="288"/>
        </w:trPr>
        <w:tc>
          <w:tcPr>
            <w:tcW w:w="2830" w:type="dxa"/>
            <w:noWrap/>
            <w:hideMark/>
          </w:tcPr>
          <w:p w14:paraId="3AC172B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Sale commissions</w:t>
            </w:r>
          </w:p>
        </w:tc>
        <w:tc>
          <w:tcPr>
            <w:tcW w:w="1843" w:type="dxa"/>
            <w:hideMark/>
          </w:tcPr>
          <w:p w14:paraId="2A5B242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5870387"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79F0239" w14:textId="77777777" w:rsidR="008446AB" w:rsidRPr="008446AB" w:rsidRDefault="008446AB" w:rsidP="00EA2BC8">
            <w:pPr>
              <w:rPr>
                <w:rFonts w:ascii="Times New Roman" w:hAnsi="Times New Roman" w:cs="Times New Roman"/>
                <w:sz w:val="24"/>
                <w:szCs w:val="24"/>
              </w:rPr>
            </w:pPr>
          </w:p>
        </w:tc>
        <w:tc>
          <w:tcPr>
            <w:tcW w:w="2268" w:type="dxa"/>
            <w:hideMark/>
          </w:tcPr>
          <w:p w14:paraId="1A2516A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5BFAF5F7" w14:textId="77777777" w:rsidTr="00EA2BC8">
        <w:trPr>
          <w:trHeight w:val="288"/>
        </w:trPr>
        <w:tc>
          <w:tcPr>
            <w:tcW w:w="2830" w:type="dxa"/>
            <w:noWrap/>
            <w:hideMark/>
          </w:tcPr>
          <w:p w14:paraId="10197648" w14:textId="77777777" w:rsidR="008446AB" w:rsidRPr="008446AB" w:rsidRDefault="008446AB" w:rsidP="00EA2BC8">
            <w:pPr>
              <w:rPr>
                <w:rFonts w:ascii="Times New Roman" w:hAnsi="Times New Roman" w:cs="Times New Roman"/>
                <w:sz w:val="24"/>
                <w:szCs w:val="24"/>
              </w:rPr>
            </w:pPr>
          </w:p>
        </w:tc>
        <w:tc>
          <w:tcPr>
            <w:tcW w:w="1843" w:type="dxa"/>
            <w:noWrap/>
            <w:hideMark/>
          </w:tcPr>
          <w:p w14:paraId="3BDB4F0B" w14:textId="77777777" w:rsidR="008446AB" w:rsidRPr="008446AB" w:rsidRDefault="008446AB" w:rsidP="00EA2BC8">
            <w:pPr>
              <w:rPr>
                <w:rFonts w:ascii="Times New Roman" w:hAnsi="Times New Roman" w:cs="Times New Roman"/>
                <w:sz w:val="24"/>
                <w:szCs w:val="24"/>
              </w:rPr>
            </w:pPr>
          </w:p>
        </w:tc>
        <w:tc>
          <w:tcPr>
            <w:tcW w:w="2126" w:type="dxa"/>
            <w:noWrap/>
            <w:hideMark/>
          </w:tcPr>
          <w:p w14:paraId="67743D40" w14:textId="77777777" w:rsidR="008446AB" w:rsidRPr="008446AB" w:rsidRDefault="008446AB" w:rsidP="00EA2BC8">
            <w:pPr>
              <w:rPr>
                <w:rFonts w:ascii="Times New Roman" w:hAnsi="Times New Roman" w:cs="Times New Roman"/>
                <w:sz w:val="24"/>
                <w:szCs w:val="24"/>
              </w:rPr>
            </w:pPr>
          </w:p>
        </w:tc>
        <w:tc>
          <w:tcPr>
            <w:tcW w:w="284" w:type="dxa"/>
            <w:noWrap/>
            <w:hideMark/>
          </w:tcPr>
          <w:p w14:paraId="715E9B6F" w14:textId="77777777" w:rsidR="008446AB" w:rsidRPr="008446AB" w:rsidRDefault="008446AB" w:rsidP="00EA2BC8">
            <w:pPr>
              <w:rPr>
                <w:rFonts w:ascii="Times New Roman" w:hAnsi="Times New Roman" w:cs="Times New Roman"/>
                <w:sz w:val="24"/>
                <w:szCs w:val="24"/>
              </w:rPr>
            </w:pPr>
          </w:p>
        </w:tc>
        <w:tc>
          <w:tcPr>
            <w:tcW w:w="2268" w:type="dxa"/>
            <w:noWrap/>
            <w:hideMark/>
          </w:tcPr>
          <w:p w14:paraId="557DF3B3" w14:textId="77777777" w:rsidR="008446AB" w:rsidRPr="008446AB" w:rsidRDefault="008446AB" w:rsidP="00EA2BC8">
            <w:pPr>
              <w:rPr>
                <w:rFonts w:ascii="Times New Roman" w:hAnsi="Times New Roman" w:cs="Times New Roman"/>
                <w:sz w:val="24"/>
                <w:szCs w:val="24"/>
              </w:rPr>
            </w:pPr>
          </w:p>
        </w:tc>
      </w:tr>
      <w:tr w:rsidR="008446AB" w:rsidRPr="008446AB" w14:paraId="1E171D20" w14:textId="77777777" w:rsidTr="00EA2BC8">
        <w:trPr>
          <w:trHeight w:val="288"/>
        </w:trPr>
        <w:tc>
          <w:tcPr>
            <w:tcW w:w="2830" w:type="dxa"/>
            <w:noWrap/>
            <w:hideMark/>
          </w:tcPr>
          <w:p w14:paraId="45BAD9B3"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Food &amp; beverages</w:t>
            </w:r>
          </w:p>
        </w:tc>
        <w:tc>
          <w:tcPr>
            <w:tcW w:w="1843" w:type="dxa"/>
            <w:hideMark/>
          </w:tcPr>
          <w:p w14:paraId="2C3E811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4EC349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4AB4746" w14:textId="77777777" w:rsidR="008446AB" w:rsidRPr="008446AB" w:rsidRDefault="008446AB" w:rsidP="00EA2BC8">
            <w:pPr>
              <w:rPr>
                <w:rFonts w:ascii="Times New Roman" w:hAnsi="Times New Roman" w:cs="Times New Roman"/>
                <w:sz w:val="24"/>
                <w:szCs w:val="24"/>
              </w:rPr>
            </w:pPr>
          </w:p>
        </w:tc>
        <w:tc>
          <w:tcPr>
            <w:tcW w:w="2268" w:type="dxa"/>
            <w:hideMark/>
          </w:tcPr>
          <w:p w14:paraId="59DA12F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686A7BC0" w14:textId="77777777" w:rsidTr="00EA2BC8">
        <w:trPr>
          <w:trHeight w:val="288"/>
        </w:trPr>
        <w:tc>
          <w:tcPr>
            <w:tcW w:w="2830" w:type="dxa"/>
            <w:noWrap/>
            <w:hideMark/>
          </w:tcPr>
          <w:p w14:paraId="77C5045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Fruits and vegetables</w:t>
            </w:r>
          </w:p>
        </w:tc>
        <w:tc>
          <w:tcPr>
            <w:tcW w:w="1843" w:type="dxa"/>
            <w:hideMark/>
          </w:tcPr>
          <w:p w14:paraId="5C44E59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A286CC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BE109F8" w14:textId="77777777" w:rsidR="008446AB" w:rsidRPr="008446AB" w:rsidRDefault="008446AB" w:rsidP="00EA2BC8">
            <w:pPr>
              <w:rPr>
                <w:rFonts w:ascii="Times New Roman" w:hAnsi="Times New Roman" w:cs="Times New Roman"/>
                <w:sz w:val="24"/>
                <w:szCs w:val="24"/>
              </w:rPr>
            </w:pPr>
          </w:p>
        </w:tc>
        <w:tc>
          <w:tcPr>
            <w:tcW w:w="2268" w:type="dxa"/>
            <w:hideMark/>
          </w:tcPr>
          <w:p w14:paraId="6348517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78DAEB3E" w14:textId="77777777" w:rsidTr="00EA2BC8">
        <w:trPr>
          <w:trHeight w:val="288"/>
        </w:trPr>
        <w:tc>
          <w:tcPr>
            <w:tcW w:w="2830" w:type="dxa"/>
            <w:noWrap/>
            <w:hideMark/>
          </w:tcPr>
          <w:p w14:paraId="581A6B1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Meat</w:t>
            </w:r>
          </w:p>
        </w:tc>
        <w:tc>
          <w:tcPr>
            <w:tcW w:w="1843" w:type="dxa"/>
            <w:hideMark/>
          </w:tcPr>
          <w:p w14:paraId="088A176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4AFEAE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BD2C999" w14:textId="77777777" w:rsidR="008446AB" w:rsidRPr="008446AB" w:rsidRDefault="008446AB" w:rsidP="00EA2BC8">
            <w:pPr>
              <w:rPr>
                <w:rFonts w:ascii="Times New Roman" w:hAnsi="Times New Roman" w:cs="Times New Roman"/>
                <w:sz w:val="24"/>
                <w:szCs w:val="24"/>
              </w:rPr>
            </w:pPr>
          </w:p>
        </w:tc>
        <w:tc>
          <w:tcPr>
            <w:tcW w:w="2268" w:type="dxa"/>
            <w:hideMark/>
          </w:tcPr>
          <w:p w14:paraId="408CE93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57F06E68" w14:textId="77777777" w:rsidTr="00EA2BC8">
        <w:trPr>
          <w:trHeight w:val="288"/>
        </w:trPr>
        <w:tc>
          <w:tcPr>
            <w:tcW w:w="2830" w:type="dxa"/>
            <w:noWrap/>
            <w:hideMark/>
          </w:tcPr>
          <w:p w14:paraId="017F9FB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Other food &amp; beverages</w:t>
            </w:r>
          </w:p>
        </w:tc>
        <w:tc>
          <w:tcPr>
            <w:tcW w:w="1843" w:type="dxa"/>
            <w:hideMark/>
          </w:tcPr>
          <w:p w14:paraId="181DE7A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E4C946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AE75674" w14:textId="77777777" w:rsidR="008446AB" w:rsidRPr="008446AB" w:rsidRDefault="008446AB" w:rsidP="00EA2BC8">
            <w:pPr>
              <w:rPr>
                <w:rFonts w:ascii="Times New Roman" w:hAnsi="Times New Roman" w:cs="Times New Roman"/>
                <w:sz w:val="24"/>
                <w:szCs w:val="24"/>
              </w:rPr>
            </w:pPr>
          </w:p>
        </w:tc>
        <w:tc>
          <w:tcPr>
            <w:tcW w:w="2268" w:type="dxa"/>
            <w:hideMark/>
          </w:tcPr>
          <w:p w14:paraId="47EC867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57DDF276" w14:textId="77777777" w:rsidTr="00EA2BC8">
        <w:trPr>
          <w:trHeight w:val="288"/>
        </w:trPr>
        <w:tc>
          <w:tcPr>
            <w:tcW w:w="2830" w:type="dxa"/>
            <w:noWrap/>
            <w:hideMark/>
          </w:tcPr>
          <w:p w14:paraId="3DC8756E" w14:textId="77777777" w:rsidR="008446AB" w:rsidRPr="008446AB" w:rsidRDefault="008446AB" w:rsidP="00EA2BC8">
            <w:pPr>
              <w:rPr>
                <w:rFonts w:ascii="Times New Roman" w:hAnsi="Times New Roman" w:cs="Times New Roman"/>
                <w:sz w:val="24"/>
                <w:szCs w:val="24"/>
              </w:rPr>
            </w:pPr>
          </w:p>
        </w:tc>
        <w:tc>
          <w:tcPr>
            <w:tcW w:w="1843" w:type="dxa"/>
            <w:noWrap/>
            <w:hideMark/>
          </w:tcPr>
          <w:p w14:paraId="4E4DDB25" w14:textId="77777777" w:rsidR="008446AB" w:rsidRPr="008446AB" w:rsidRDefault="008446AB" w:rsidP="00EA2BC8">
            <w:pPr>
              <w:rPr>
                <w:rFonts w:ascii="Times New Roman" w:hAnsi="Times New Roman" w:cs="Times New Roman"/>
                <w:sz w:val="24"/>
                <w:szCs w:val="24"/>
              </w:rPr>
            </w:pPr>
          </w:p>
        </w:tc>
        <w:tc>
          <w:tcPr>
            <w:tcW w:w="2126" w:type="dxa"/>
            <w:noWrap/>
            <w:hideMark/>
          </w:tcPr>
          <w:p w14:paraId="1BDD00A5" w14:textId="77777777" w:rsidR="008446AB" w:rsidRPr="008446AB" w:rsidRDefault="008446AB" w:rsidP="00EA2BC8">
            <w:pPr>
              <w:rPr>
                <w:rFonts w:ascii="Times New Roman" w:hAnsi="Times New Roman" w:cs="Times New Roman"/>
                <w:sz w:val="24"/>
                <w:szCs w:val="24"/>
              </w:rPr>
            </w:pPr>
          </w:p>
        </w:tc>
        <w:tc>
          <w:tcPr>
            <w:tcW w:w="284" w:type="dxa"/>
            <w:noWrap/>
            <w:hideMark/>
          </w:tcPr>
          <w:p w14:paraId="086E8A7E" w14:textId="77777777" w:rsidR="008446AB" w:rsidRPr="008446AB" w:rsidRDefault="008446AB" w:rsidP="00EA2BC8">
            <w:pPr>
              <w:rPr>
                <w:rFonts w:ascii="Times New Roman" w:hAnsi="Times New Roman" w:cs="Times New Roman"/>
                <w:sz w:val="24"/>
                <w:szCs w:val="24"/>
              </w:rPr>
            </w:pPr>
          </w:p>
        </w:tc>
        <w:tc>
          <w:tcPr>
            <w:tcW w:w="2268" w:type="dxa"/>
            <w:noWrap/>
            <w:hideMark/>
          </w:tcPr>
          <w:p w14:paraId="13C3C15E" w14:textId="77777777" w:rsidR="008446AB" w:rsidRPr="008446AB" w:rsidRDefault="008446AB" w:rsidP="00EA2BC8">
            <w:pPr>
              <w:rPr>
                <w:rFonts w:ascii="Times New Roman" w:hAnsi="Times New Roman" w:cs="Times New Roman"/>
                <w:sz w:val="24"/>
                <w:szCs w:val="24"/>
              </w:rPr>
            </w:pPr>
          </w:p>
        </w:tc>
      </w:tr>
      <w:tr w:rsidR="008446AB" w:rsidRPr="008446AB" w14:paraId="571B767A" w14:textId="77777777" w:rsidTr="00EA2BC8">
        <w:trPr>
          <w:trHeight w:val="288"/>
        </w:trPr>
        <w:tc>
          <w:tcPr>
            <w:tcW w:w="2830" w:type="dxa"/>
            <w:noWrap/>
            <w:hideMark/>
          </w:tcPr>
          <w:p w14:paraId="78AB855C"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Fuel</w:t>
            </w:r>
          </w:p>
        </w:tc>
        <w:tc>
          <w:tcPr>
            <w:tcW w:w="1843" w:type="dxa"/>
            <w:hideMark/>
          </w:tcPr>
          <w:p w14:paraId="67281B3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8A93CD7"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F8FC37E" w14:textId="77777777" w:rsidR="008446AB" w:rsidRPr="008446AB" w:rsidRDefault="008446AB" w:rsidP="00EA2BC8">
            <w:pPr>
              <w:rPr>
                <w:rFonts w:ascii="Times New Roman" w:hAnsi="Times New Roman" w:cs="Times New Roman"/>
                <w:sz w:val="24"/>
                <w:szCs w:val="24"/>
              </w:rPr>
            </w:pPr>
          </w:p>
        </w:tc>
        <w:tc>
          <w:tcPr>
            <w:tcW w:w="2268" w:type="dxa"/>
            <w:hideMark/>
          </w:tcPr>
          <w:p w14:paraId="294BAC3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49D2AAFC" w14:textId="77777777" w:rsidTr="00EA2BC8">
        <w:trPr>
          <w:trHeight w:val="288"/>
        </w:trPr>
        <w:tc>
          <w:tcPr>
            <w:tcW w:w="2830" w:type="dxa"/>
            <w:noWrap/>
            <w:hideMark/>
          </w:tcPr>
          <w:p w14:paraId="539D09C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Bunker fuel (with 12 miles)</w:t>
            </w:r>
          </w:p>
        </w:tc>
        <w:tc>
          <w:tcPr>
            <w:tcW w:w="1843" w:type="dxa"/>
            <w:hideMark/>
          </w:tcPr>
          <w:p w14:paraId="4A8BE60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403E41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4515E5B" w14:textId="77777777" w:rsidR="008446AB" w:rsidRPr="008446AB" w:rsidRDefault="008446AB" w:rsidP="00EA2BC8">
            <w:pPr>
              <w:rPr>
                <w:rFonts w:ascii="Times New Roman" w:hAnsi="Times New Roman" w:cs="Times New Roman"/>
                <w:sz w:val="24"/>
                <w:szCs w:val="24"/>
              </w:rPr>
            </w:pPr>
          </w:p>
        </w:tc>
        <w:tc>
          <w:tcPr>
            <w:tcW w:w="2268" w:type="dxa"/>
            <w:hideMark/>
          </w:tcPr>
          <w:p w14:paraId="509D9E67"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4D76FCE3" w14:textId="77777777" w:rsidTr="00EA2BC8">
        <w:trPr>
          <w:trHeight w:val="288"/>
        </w:trPr>
        <w:tc>
          <w:tcPr>
            <w:tcW w:w="2830" w:type="dxa"/>
            <w:noWrap/>
            <w:hideMark/>
          </w:tcPr>
          <w:p w14:paraId="31F6700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Other fuel</w:t>
            </w:r>
          </w:p>
        </w:tc>
        <w:tc>
          <w:tcPr>
            <w:tcW w:w="1843" w:type="dxa"/>
            <w:hideMark/>
          </w:tcPr>
          <w:p w14:paraId="56344DE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F9E5C5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948FD8C" w14:textId="77777777" w:rsidR="008446AB" w:rsidRPr="008446AB" w:rsidRDefault="008446AB" w:rsidP="00EA2BC8">
            <w:pPr>
              <w:rPr>
                <w:rFonts w:ascii="Times New Roman" w:hAnsi="Times New Roman" w:cs="Times New Roman"/>
                <w:sz w:val="24"/>
                <w:szCs w:val="24"/>
              </w:rPr>
            </w:pPr>
          </w:p>
        </w:tc>
        <w:tc>
          <w:tcPr>
            <w:tcW w:w="2268" w:type="dxa"/>
            <w:hideMark/>
          </w:tcPr>
          <w:p w14:paraId="3033C77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682ED598" w14:textId="77777777" w:rsidTr="00EA2BC8">
        <w:trPr>
          <w:trHeight w:val="288"/>
        </w:trPr>
        <w:tc>
          <w:tcPr>
            <w:tcW w:w="2830" w:type="dxa"/>
            <w:noWrap/>
            <w:hideMark/>
          </w:tcPr>
          <w:p w14:paraId="68D06B33" w14:textId="77777777" w:rsidR="008446AB" w:rsidRPr="008446AB" w:rsidRDefault="008446AB" w:rsidP="00EA2BC8">
            <w:pPr>
              <w:rPr>
                <w:rFonts w:ascii="Times New Roman" w:hAnsi="Times New Roman" w:cs="Times New Roman"/>
                <w:sz w:val="24"/>
                <w:szCs w:val="24"/>
              </w:rPr>
            </w:pPr>
          </w:p>
        </w:tc>
        <w:tc>
          <w:tcPr>
            <w:tcW w:w="1843" w:type="dxa"/>
            <w:noWrap/>
            <w:hideMark/>
          </w:tcPr>
          <w:p w14:paraId="1EAD8275" w14:textId="77777777" w:rsidR="008446AB" w:rsidRPr="008446AB" w:rsidRDefault="008446AB" w:rsidP="00EA2BC8">
            <w:pPr>
              <w:rPr>
                <w:rFonts w:ascii="Times New Roman" w:hAnsi="Times New Roman" w:cs="Times New Roman"/>
                <w:sz w:val="24"/>
                <w:szCs w:val="24"/>
              </w:rPr>
            </w:pPr>
          </w:p>
        </w:tc>
        <w:tc>
          <w:tcPr>
            <w:tcW w:w="2126" w:type="dxa"/>
            <w:noWrap/>
            <w:hideMark/>
          </w:tcPr>
          <w:p w14:paraId="017290CF" w14:textId="77777777" w:rsidR="008446AB" w:rsidRPr="008446AB" w:rsidRDefault="008446AB" w:rsidP="00EA2BC8">
            <w:pPr>
              <w:rPr>
                <w:rFonts w:ascii="Times New Roman" w:hAnsi="Times New Roman" w:cs="Times New Roman"/>
                <w:sz w:val="24"/>
                <w:szCs w:val="24"/>
              </w:rPr>
            </w:pPr>
          </w:p>
        </w:tc>
        <w:tc>
          <w:tcPr>
            <w:tcW w:w="284" w:type="dxa"/>
            <w:noWrap/>
            <w:hideMark/>
          </w:tcPr>
          <w:p w14:paraId="232A018F" w14:textId="77777777" w:rsidR="008446AB" w:rsidRPr="008446AB" w:rsidRDefault="008446AB" w:rsidP="00EA2BC8">
            <w:pPr>
              <w:rPr>
                <w:rFonts w:ascii="Times New Roman" w:hAnsi="Times New Roman" w:cs="Times New Roman"/>
                <w:sz w:val="24"/>
                <w:szCs w:val="24"/>
              </w:rPr>
            </w:pPr>
          </w:p>
        </w:tc>
        <w:tc>
          <w:tcPr>
            <w:tcW w:w="2268" w:type="dxa"/>
            <w:noWrap/>
            <w:hideMark/>
          </w:tcPr>
          <w:p w14:paraId="1D8A92CF" w14:textId="77777777" w:rsidR="008446AB" w:rsidRPr="008446AB" w:rsidRDefault="008446AB" w:rsidP="00EA2BC8">
            <w:pPr>
              <w:rPr>
                <w:rFonts w:ascii="Times New Roman" w:hAnsi="Times New Roman" w:cs="Times New Roman"/>
                <w:sz w:val="24"/>
                <w:szCs w:val="24"/>
              </w:rPr>
            </w:pPr>
          </w:p>
        </w:tc>
      </w:tr>
      <w:tr w:rsidR="008446AB" w:rsidRPr="008446AB" w14:paraId="3FB98DD3" w14:textId="77777777" w:rsidTr="00EA2BC8">
        <w:trPr>
          <w:trHeight w:val="288"/>
        </w:trPr>
        <w:tc>
          <w:tcPr>
            <w:tcW w:w="2830" w:type="dxa"/>
            <w:noWrap/>
            <w:hideMark/>
          </w:tcPr>
          <w:p w14:paraId="67C507DD"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Transport &amp; warehousing</w:t>
            </w:r>
          </w:p>
        </w:tc>
        <w:tc>
          <w:tcPr>
            <w:tcW w:w="1843" w:type="dxa"/>
            <w:hideMark/>
          </w:tcPr>
          <w:p w14:paraId="0CCB912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88BBC1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3BC7A8E" w14:textId="77777777" w:rsidR="008446AB" w:rsidRPr="008446AB" w:rsidRDefault="008446AB" w:rsidP="00EA2BC8">
            <w:pPr>
              <w:rPr>
                <w:rFonts w:ascii="Times New Roman" w:hAnsi="Times New Roman" w:cs="Times New Roman"/>
                <w:sz w:val="24"/>
                <w:szCs w:val="24"/>
              </w:rPr>
            </w:pPr>
          </w:p>
        </w:tc>
        <w:tc>
          <w:tcPr>
            <w:tcW w:w="2268" w:type="dxa"/>
            <w:hideMark/>
          </w:tcPr>
          <w:p w14:paraId="10B6612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7157730" w14:textId="77777777" w:rsidTr="00EA2BC8">
        <w:trPr>
          <w:trHeight w:val="288"/>
        </w:trPr>
        <w:tc>
          <w:tcPr>
            <w:tcW w:w="2830" w:type="dxa"/>
            <w:noWrap/>
            <w:hideMark/>
          </w:tcPr>
          <w:p w14:paraId="4C82B92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Freight (sea transport)</w:t>
            </w:r>
          </w:p>
        </w:tc>
        <w:tc>
          <w:tcPr>
            <w:tcW w:w="1843" w:type="dxa"/>
            <w:hideMark/>
          </w:tcPr>
          <w:p w14:paraId="4E05334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88C1FA7"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2A717BE" w14:textId="77777777" w:rsidR="008446AB" w:rsidRPr="008446AB" w:rsidRDefault="008446AB" w:rsidP="00EA2BC8">
            <w:pPr>
              <w:rPr>
                <w:rFonts w:ascii="Times New Roman" w:hAnsi="Times New Roman" w:cs="Times New Roman"/>
                <w:sz w:val="24"/>
                <w:szCs w:val="24"/>
              </w:rPr>
            </w:pPr>
          </w:p>
        </w:tc>
        <w:tc>
          <w:tcPr>
            <w:tcW w:w="2268" w:type="dxa"/>
            <w:hideMark/>
          </w:tcPr>
          <w:p w14:paraId="0F46B83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32B7F6BF" w14:textId="77777777" w:rsidTr="00EA2BC8">
        <w:trPr>
          <w:trHeight w:val="288"/>
        </w:trPr>
        <w:tc>
          <w:tcPr>
            <w:tcW w:w="2830" w:type="dxa"/>
            <w:noWrap/>
            <w:hideMark/>
          </w:tcPr>
          <w:p w14:paraId="7D8A2D2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Freight (land transport)</w:t>
            </w:r>
          </w:p>
        </w:tc>
        <w:tc>
          <w:tcPr>
            <w:tcW w:w="1843" w:type="dxa"/>
            <w:hideMark/>
          </w:tcPr>
          <w:p w14:paraId="38F3EEC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11C945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072FEEE" w14:textId="77777777" w:rsidR="008446AB" w:rsidRPr="008446AB" w:rsidRDefault="008446AB" w:rsidP="00EA2BC8">
            <w:pPr>
              <w:rPr>
                <w:rFonts w:ascii="Times New Roman" w:hAnsi="Times New Roman" w:cs="Times New Roman"/>
                <w:sz w:val="24"/>
                <w:szCs w:val="24"/>
              </w:rPr>
            </w:pPr>
          </w:p>
        </w:tc>
        <w:tc>
          <w:tcPr>
            <w:tcW w:w="2268" w:type="dxa"/>
            <w:hideMark/>
          </w:tcPr>
          <w:p w14:paraId="16AAD4F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17F94B70" w14:textId="77777777" w:rsidTr="00EA2BC8">
        <w:trPr>
          <w:trHeight w:val="288"/>
        </w:trPr>
        <w:tc>
          <w:tcPr>
            <w:tcW w:w="2830" w:type="dxa"/>
            <w:noWrap/>
            <w:hideMark/>
          </w:tcPr>
          <w:p w14:paraId="5681C50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Stevedoring charges</w:t>
            </w:r>
          </w:p>
        </w:tc>
        <w:tc>
          <w:tcPr>
            <w:tcW w:w="1843" w:type="dxa"/>
            <w:hideMark/>
          </w:tcPr>
          <w:p w14:paraId="4B701D2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71BD7F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2399E75" w14:textId="77777777" w:rsidR="008446AB" w:rsidRPr="008446AB" w:rsidRDefault="008446AB" w:rsidP="00EA2BC8">
            <w:pPr>
              <w:rPr>
                <w:rFonts w:ascii="Times New Roman" w:hAnsi="Times New Roman" w:cs="Times New Roman"/>
                <w:sz w:val="24"/>
                <w:szCs w:val="24"/>
              </w:rPr>
            </w:pPr>
          </w:p>
        </w:tc>
        <w:tc>
          <w:tcPr>
            <w:tcW w:w="2268" w:type="dxa"/>
            <w:hideMark/>
          </w:tcPr>
          <w:p w14:paraId="2780EC6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1C7ACA4" w14:textId="77777777" w:rsidTr="00EA2BC8">
        <w:trPr>
          <w:trHeight w:val="288"/>
        </w:trPr>
        <w:tc>
          <w:tcPr>
            <w:tcW w:w="2830" w:type="dxa"/>
            <w:noWrap/>
            <w:hideMark/>
          </w:tcPr>
          <w:p w14:paraId="51CFC76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Warehousing &amp; cold storage charges</w:t>
            </w:r>
          </w:p>
        </w:tc>
        <w:tc>
          <w:tcPr>
            <w:tcW w:w="1843" w:type="dxa"/>
            <w:hideMark/>
          </w:tcPr>
          <w:p w14:paraId="2B2096D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C47EF08"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EA9C47A" w14:textId="77777777" w:rsidR="008446AB" w:rsidRPr="008446AB" w:rsidRDefault="008446AB" w:rsidP="00EA2BC8">
            <w:pPr>
              <w:rPr>
                <w:rFonts w:ascii="Times New Roman" w:hAnsi="Times New Roman" w:cs="Times New Roman"/>
                <w:sz w:val="24"/>
                <w:szCs w:val="24"/>
              </w:rPr>
            </w:pPr>
          </w:p>
        </w:tc>
        <w:tc>
          <w:tcPr>
            <w:tcW w:w="2268" w:type="dxa"/>
            <w:hideMark/>
          </w:tcPr>
          <w:p w14:paraId="21E3232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41F9E523" w14:textId="77777777" w:rsidTr="00EA2BC8">
        <w:trPr>
          <w:trHeight w:val="288"/>
        </w:trPr>
        <w:tc>
          <w:tcPr>
            <w:tcW w:w="2830" w:type="dxa"/>
            <w:noWrap/>
            <w:hideMark/>
          </w:tcPr>
          <w:p w14:paraId="0436C887"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Other transport costs</w:t>
            </w:r>
          </w:p>
        </w:tc>
        <w:tc>
          <w:tcPr>
            <w:tcW w:w="1843" w:type="dxa"/>
            <w:hideMark/>
          </w:tcPr>
          <w:p w14:paraId="44B7985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25B3AE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0EED9AE" w14:textId="77777777" w:rsidR="008446AB" w:rsidRPr="008446AB" w:rsidRDefault="008446AB" w:rsidP="00EA2BC8">
            <w:pPr>
              <w:rPr>
                <w:rFonts w:ascii="Times New Roman" w:hAnsi="Times New Roman" w:cs="Times New Roman"/>
                <w:sz w:val="24"/>
                <w:szCs w:val="24"/>
              </w:rPr>
            </w:pPr>
          </w:p>
        </w:tc>
        <w:tc>
          <w:tcPr>
            <w:tcW w:w="2268" w:type="dxa"/>
            <w:hideMark/>
          </w:tcPr>
          <w:p w14:paraId="3621991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6E989E88" w14:textId="77777777" w:rsidTr="00EA2BC8">
        <w:trPr>
          <w:trHeight w:val="288"/>
        </w:trPr>
        <w:tc>
          <w:tcPr>
            <w:tcW w:w="2830" w:type="dxa"/>
            <w:noWrap/>
            <w:hideMark/>
          </w:tcPr>
          <w:p w14:paraId="2AD83FE4" w14:textId="77777777" w:rsidR="008446AB" w:rsidRPr="008446AB" w:rsidRDefault="008446AB" w:rsidP="00EA2BC8">
            <w:pPr>
              <w:rPr>
                <w:rFonts w:ascii="Times New Roman" w:hAnsi="Times New Roman" w:cs="Times New Roman"/>
                <w:sz w:val="24"/>
                <w:szCs w:val="24"/>
              </w:rPr>
            </w:pPr>
          </w:p>
        </w:tc>
        <w:tc>
          <w:tcPr>
            <w:tcW w:w="1843" w:type="dxa"/>
            <w:noWrap/>
            <w:hideMark/>
          </w:tcPr>
          <w:p w14:paraId="4517CEF1" w14:textId="77777777" w:rsidR="008446AB" w:rsidRPr="008446AB" w:rsidRDefault="008446AB" w:rsidP="00EA2BC8">
            <w:pPr>
              <w:rPr>
                <w:rFonts w:ascii="Times New Roman" w:hAnsi="Times New Roman" w:cs="Times New Roman"/>
                <w:sz w:val="24"/>
                <w:szCs w:val="24"/>
              </w:rPr>
            </w:pPr>
          </w:p>
        </w:tc>
        <w:tc>
          <w:tcPr>
            <w:tcW w:w="2126" w:type="dxa"/>
            <w:noWrap/>
            <w:hideMark/>
          </w:tcPr>
          <w:p w14:paraId="3D6AC779" w14:textId="77777777" w:rsidR="008446AB" w:rsidRPr="008446AB" w:rsidRDefault="008446AB" w:rsidP="00EA2BC8">
            <w:pPr>
              <w:rPr>
                <w:rFonts w:ascii="Times New Roman" w:hAnsi="Times New Roman" w:cs="Times New Roman"/>
                <w:sz w:val="24"/>
                <w:szCs w:val="24"/>
              </w:rPr>
            </w:pPr>
          </w:p>
        </w:tc>
        <w:tc>
          <w:tcPr>
            <w:tcW w:w="284" w:type="dxa"/>
            <w:noWrap/>
            <w:hideMark/>
          </w:tcPr>
          <w:p w14:paraId="44733137" w14:textId="77777777" w:rsidR="008446AB" w:rsidRPr="008446AB" w:rsidRDefault="008446AB" w:rsidP="00EA2BC8">
            <w:pPr>
              <w:rPr>
                <w:rFonts w:ascii="Times New Roman" w:hAnsi="Times New Roman" w:cs="Times New Roman"/>
                <w:sz w:val="24"/>
                <w:szCs w:val="24"/>
              </w:rPr>
            </w:pPr>
          </w:p>
        </w:tc>
        <w:tc>
          <w:tcPr>
            <w:tcW w:w="2268" w:type="dxa"/>
            <w:noWrap/>
            <w:hideMark/>
          </w:tcPr>
          <w:p w14:paraId="1233F708" w14:textId="77777777" w:rsidR="008446AB" w:rsidRPr="008446AB" w:rsidRDefault="008446AB" w:rsidP="00EA2BC8">
            <w:pPr>
              <w:rPr>
                <w:rFonts w:ascii="Times New Roman" w:hAnsi="Times New Roman" w:cs="Times New Roman"/>
                <w:sz w:val="24"/>
                <w:szCs w:val="24"/>
              </w:rPr>
            </w:pPr>
          </w:p>
        </w:tc>
      </w:tr>
      <w:tr w:rsidR="008446AB" w:rsidRPr="008446AB" w14:paraId="29FC3527" w14:textId="77777777" w:rsidTr="00EA2BC8">
        <w:trPr>
          <w:trHeight w:val="288"/>
        </w:trPr>
        <w:tc>
          <w:tcPr>
            <w:tcW w:w="2830" w:type="dxa"/>
            <w:noWrap/>
            <w:hideMark/>
          </w:tcPr>
          <w:p w14:paraId="7006C32F"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Repairs &amp; maintenance</w:t>
            </w:r>
          </w:p>
        </w:tc>
        <w:tc>
          <w:tcPr>
            <w:tcW w:w="1843" w:type="dxa"/>
            <w:hideMark/>
          </w:tcPr>
          <w:p w14:paraId="4E7AE4F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BAF0AE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541658D" w14:textId="77777777" w:rsidR="008446AB" w:rsidRPr="008446AB" w:rsidRDefault="008446AB" w:rsidP="00EA2BC8">
            <w:pPr>
              <w:rPr>
                <w:rFonts w:ascii="Times New Roman" w:hAnsi="Times New Roman" w:cs="Times New Roman"/>
                <w:sz w:val="24"/>
                <w:szCs w:val="24"/>
              </w:rPr>
            </w:pPr>
          </w:p>
        </w:tc>
        <w:tc>
          <w:tcPr>
            <w:tcW w:w="2268" w:type="dxa"/>
            <w:hideMark/>
          </w:tcPr>
          <w:p w14:paraId="18E1D02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740FCFBA" w14:textId="77777777" w:rsidTr="00EA2BC8">
        <w:trPr>
          <w:trHeight w:val="288"/>
        </w:trPr>
        <w:tc>
          <w:tcPr>
            <w:tcW w:w="2830" w:type="dxa"/>
            <w:noWrap/>
            <w:hideMark/>
          </w:tcPr>
          <w:p w14:paraId="4B8FD4B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Ship expenses &amp; repair services</w:t>
            </w:r>
          </w:p>
        </w:tc>
        <w:tc>
          <w:tcPr>
            <w:tcW w:w="1843" w:type="dxa"/>
            <w:hideMark/>
          </w:tcPr>
          <w:p w14:paraId="67E119A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1A1B79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40DF8B8" w14:textId="77777777" w:rsidR="008446AB" w:rsidRPr="008446AB" w:rsidRDefault="008446AB" w:rsidP="00EA2BC8">
            <w:pPr>
              <w:rPr>
                <w:rFonts w:ascii="Times New Roman" w:hAnsi="Times New Roman" w:cs="Times New Roman"/>
                <w:sz w:val="24"/>
                <w:szCs w:val="24"/>
              </w:rPr>
            </w:pPr>
          </w:p>
        </w:tc>
        <w:tc>
          <w:tcPr>
            <w:tcW w:w="2268" w:type="dxa"/>
            <w:hideMark/>
          </w:tcPr>
          <w:p w14:paraId="570BA04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5933135B" w14:textId="77777777" w:rsidTr="00EA2BC8">
        <w:trPr>
          <w:trHeight w:val="288"/>
        </w:trPr>
        <w:tc>
          <w:tcPr>
            <w:tcW w:w="2830" w:type="dxa"/>
            <w:noWrap/>
            <w:hideMark/>
          </w:tcPr>
          <w:p w14:paraId="1DA104E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Other repairs and maintenance</w:t>
            </w:r>
          </w:p>
        </w:tc>
        <w:tc>
          <w:tcPr>
            <w:tcW w:w="1843" w:type="dxa"/>
            <w:hideMark/>
          </w:tcPr>
          <w:p w14:paraId="45463FA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305B24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C9627BC" w14:textId="77777777" w:rsidR="008446AB" w:rsidRPr="008446AB" w:rsidRDefault="008446AB" w:rsidP="00EA2BC8">
            <w:pPr>
              <w:rPr>
                <w:rFonts w:ascii="Times New Roman" w:hAnsi="Times New Roman" w:cs="Times New Roman"/>
                <w:sz w:val="24"/>
                <w:szCs w:val="24"/>
              </w:rPr>
            </w:pPr>
          </w:p>
        </w:tc>
        <w:tc>
          <w:tcPr>
            <w:tcW w:w="2268" w:type="dxa"/>
            <w:hideMark/>
          </w:tcPr>
          <w:p w14:paraId="277F497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4EF26A28" w14:textId="77777777" w:rsidTr="00EA2BC8">
        <w:trPr>
          <w:trHeight w:val="288"/>
        </w:trPr>
        <w:tc>
          <w:tcPr>
            <w:tcW w:w="2830" w:type="dxa"/>
            <w:noWrap/>
            <w:hideMark/>
          </w:tcPr>
          <w:p w14:paraId="177A66D3" w14:textId="77777777" w:rsidR="008446AB" w:rsidRPr="008446AB" w:rsidRDefault="008446AB" w:rsidP="00EA2BC8">
            <w:pPr>
              <w:rPr>
                <w:rFonts w:ascii="Times New Roman" w:hAnsi="Times New Roman" w:cs="Times New Roman"/>
                <w:sz w:val="24"/>
                <w:szCs w:val="24"/>
              </w:rPr>
            </w:pPr>
          </w:p>
        </w:tc>
        <w:tc>
          <w:tcPr>
            <w:tcW w:w="1843" w:type="dxa"/>
            <w:noWrap/>
            <w:hideMark/>
          </w:tcPr>
          <w:p w14:paraId="4DC75B2F" w14:textId="77777777" w:rsidR="008446AB" w:rsidRPr="008446AB" w:rsidRDefault="008446AB" w:rsidP="00EA2BC8">
            <w:pPr>
              <w:rPr>
                <w:rFonts w:ascii="Times New Roman" w:hAnsi="Times New Roman" w:cs="Times New Roman"/>
                <w:sz w:val="24"/>
                <w:szCs w:val="24"/>
              </w:rPr>
            </w:pPr>
          </w:p>
        </w:tc>
        <w:tc>
          <w:tcPr>
            <w:tcW w:w="2126" w:type="dxa"/>
            <w:noWrap/>
            <w:hideMark/>
          </w:tcPr>
          <w:p w14:paraId="7401EC31" w14:textId="77777777" w:rsidR="008446AB" w:rsidRPr="008446AB" w:rsidRDefault="008446AB" w:rsidP="00EA2BC8">
            <w:pPr>
              <w:rPr>
                <w:rFonts w:ascii="Times New Roman" w:hAnsi="Times New Roman" w:cs="Times New Roman"/>
                <w:sz w:val="24"/>
                <w:szCs w:val="24"/>
              </w:rPr>
            </w:pPr>
          </w:p>
        </w:tc>
        <w:tc>
          <w:tcPr>
            <w:tcW w:w="284" w:type="dxa"/>
            <w:noWrap/>
            <w:hideMark/>
          </w:tcPr>
          <w:p w14:paraId="08CF1701" w14:textId="77777777" w:rsidR="008446AB" w:rsidRPr="008446AB" w:rsidRDefault="008446AB" w:rsidP="00EA2BC8">
            <w:pPr>
              <w:rPr>
                <w:rFonts w:ascii="Times New Roman" w:hAnsi="Times New Roman" w:cs="Times New Roman"/>
                <w:sz w:val="24"/>
                <w:szCs w:val="24"/>
              </w:rPr>
            </w:pPr>
          </w:p>
        </w:tc>
        <w:tc>
          <w:tcPr>
            <w:tcW w:w="2268" w:type="dxa"/>
            <w:noWrap/>
            <w:hideMark/>
          </w:tcPr>
          <w:p w14:paraId="0BB236F1" w14:textId="77777777" w:rsidR="008446AB" w:rsidRPr="008446AB" w:rsidRDefault="008446AB" w:rsidP="00EA2BC8">
            <w:pPr>
              <w:rPr>
                <w:rFonts w:ascii="Times New Roman" w:hAnsi="Times New Roman" w:cs="Times New Roman"/>
                <w:sz w:val="24"/>
                <w:szCs w:val="24"/>
              </w:rPr>
            </w:pPr>
          </w:p>
        </w:tc>
      </w:tr>
      <w:tr w:rsidR="008446AB" w:rsidRPr="008446AB" w14:paraId="5E13C5F6" w14:textId="77777777" w:rsidTr="00EA2BC8">
        <w:trPr>
          <w:trHeight w:val="288"/>
        </w:trPr>
        <w:tc>
          <w:tcPr>
            <w:tcW w:w="2830" w:type="dxa"/>
            <w:noWrap/>
            <w:hideMark/>
          </w:tcPr>
          <w:p w14:paraId="44DF599F"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Utilities</w:t>
            </w:r>
          </w:p>
        </w:tc>
        <w:tc>
          <w:tcPr>
            <w:tcW w:w="1843" w:type="dxa"/>
            <w:hideMark/>
          </w:tcPr>
          <w:p w14:paraId="477E017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80B818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C76156D" w14:textId="77777777" w:rsidR="008446AB" w:rsidRPr="008446AB" w:rsidRDefault="008446AB" w:rsidP="00EA2BC8">
            <w:pPr>
              <w:rPr>
                <w:rFonts w:ascii="Times New Roman" w:hAnsi="Times New Roman" w:cs="Times New Roman"/>
                <w:sz w:val="24"/>
                <w:szCs w:val="24"/>
              </w:rPr>
            </w:pPr>
          </w:p>
        </w:tc>
        <w:tc>
          <w:tcPr>
            <w:tcW w:w="2268" w:type="dxa"/>
            <w:hideMark/>
          </w:tcPr>
          <w:p w14:paraId="5920E59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1C4D1311" w14:textId="77777777" w:rsidTr="00EA2BC8">
        <w:trPr>
          <w:trHeight w:val="288"/>
        </w:trPr>
        <w:tc>
          <w:tcPr>
            <w:tcW w:w="2830" w:type="dxa"/>
            <w:noWrap/>
            <w:hideMark/>
          </w:tcPr>
          <w:p w14:paraId="379E69D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Electricity</w:t>
            </w:r>
          </w:p>
        </w:tc>
        <w:tc>
          <w:tcPr>
            <w:tcW w:w="1843" w:type="dxa"/>
            <w:hideMark/>
          </w:tcPr>
          <w:p w14:paraId="534F90D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E75186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D35B7AD" w14:textId="77777777" w:rsidR="008446AB" w:rsidRPr="008446AB" w:rsidRDefault="008446AB" w:rsidP="00EA2BC8">
            <w:pPr>
              <w:rPr>
                <w:rFonts w:ascii="Times New Roman" w:hAnsi="Times New Roman" w:cs="Times New Roman"/>
                <w:sz w:val="24"/>
                <w:szCs w:val="24"/>
              </w:rPr>
            </w:pPr>
          </w:p>
        </w:tc>
        <w:tc>
          <w:tcPr>
            <w:tcW w:w="2268" w:type="dxa"/>
            <w:hideMark/>
          </w:tcPr>
          <w:p w14:paraId="70D451A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6237EB8A" w14:textId="77777777" w:rsidTr="00EA2BC8">
        <w:trPr>
          <w:trHeight w:val="288"/>
        </w:trPr>
        <w:tc>
          <w:tcPr>
            <w:tcW w:w="2830" w:type="dxa"/>
            <w:noWrap/>
            <w:hideMark/>
          </w:tcPr>
          <w:p w14:paraId="53E12AD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Water</w:t>
            </w:r>
          </w:p>
        </w:tc>
        <w:tc>
          <w:tcPr>
            <w:tcW w:w="1843" w:type="dxa"/>
            <w:hideMark/>
          </w:tcPr>
          <w:p w14:paraId="00359F1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4255AE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81C0038" w14:textId="77777777" w:rsidR="008446AB" w:rsidRPr="008446AB" w:rsidRDefault="008446AB" w:rsidP="00EA2BC8">
            <w:pPr>
              <w:rPr>
                <w:rFonts w:ascii="Times New Roman" w:hAnsi="Times New Roman" w:cs="Times New Roman"/>
                <w:sz w:val="24"/>
                <w:szCs w:val="24"/>
              </w:rPr>
            </w:pPr>
          </w:p>
        </w:tc>
        <w:tc>
          <w:tcPr>
            <w:tcW w:w="2268" w:type="dxa"/>
            <w:hideMark/>
          </w:tcPr>
          <w:p w14:paraId="7541391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599D5F4D" w14:textId="77777777" w:rsidTr="00EA2BC8">
        <w:trPr>
          <w:trHeight w:val="288"/>
        </w:trPr>
        <w:tc>
          <w:tcPr>
            <w:tcW w:w="2830" w:type="dxa"/>
            <w:noWrap/>
            <w:hideMark/>
          </w:tcPr>
          <w:p w14:paraId="1653F25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Heating (including heating gas)</w:t>
            </w:r>
          </w:p>
        </w:tc>
        <w:tc>
          <w:tcPr>
            <w:tcW w:w="1843" w:type="dxa"/>
            <w:hideMark/>
          </w:tcPr>
          <w:p w14:paraId="2D859C7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9D09AC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2CDE548" w14:textId="77777777" w:rsidR="008446AB" w:rsidRPr="008446AB" w:rsidRDefault="008446AB" w:rsidP="00EA2BC8">
            <w:pPr>
              <w:rPr>
                <w:rFonts w:ascii="Times New Roman" w:hAnsi="Times New Roman" w:cs="Times New Roman"/>
                <w:sz w:val="24"/>
                <w:szCs w:val="24"/>
              </w:rPr>
            </w:pPr>
          </w:p>
        </w:tc>
        <w:tc>
          <w:tcPr>
            <w:tcW w:w="2268" w:type="dxa"/>
            <w:hideMark/>
          </w:tcPr>
          <w:p w14:paraId="3FE1EF1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B72E0DD" w14:textId="77777777" w:rsidTr="00EA2BC8">
        <w:trPr>
          <w:trHeight w:val="288"/>
        </w:trPr>
        <w:tc>
          <w:tcPr>
            <w:tcW w:w="2830" w:type="dxa"/>
            <w:noWrap/>
            <w:hideMark/>
          </w:tcPr>
          <w:p w14:paraId="055DFE0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Service charges</w:t>
            </w:r>
          </w:p>
        </w:tc>
        <w:tc>
          <w:tcPr>
            <w:tcW w:w="1843" w:type="dxa"/>
            <w:hideMark/>
          </w:tcPr>
          <w:p w14:paraId="01E7A32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E6A904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92E5C86" w14:textId="77777777" w:rsidR="008446AB" w:rsidRPr="008446AB" w:rsidRDefault="008446AB" w:rsidP="00EA2BC8">
            <w:pPr>
              <w:rPr>
                <w:rFonts w:ascii="Times New Roman" w:hAnsi="Times New Roman" w:cs="Times New Roman"/>
                <w:sz w:val="24"/>
                <w:szCs w:val="24"/>
              </w:rPr>
            </w:pPr>
          </w:p>
        </w:tc>
        <w:tc>
          <w:tcPr>
            <w:tcW w:w="2268" w:type="dxa"/>
            <w:hideMark/>
          </w:tcPr>
          <w:p w14:paraId="12A051E8"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37C8475D" w14:textId="77777777" w:rsidTr="00EA2BC8">
        <w:trPr>
          <w:trHeight w:val="288"/>
        </w:trPr>
        <w:tc>
          <w:tcPr>
            <w:tcW w:w="2830" w:type="dxa"/>
            <w:noWrap/>
            <w:hideMark/>
          </w:tcPr>
          <w:p w14:paraId="71293EDF" w14:textId="77777777" w:rsidR="008446AB" w:rsidRPr="008446AB" w:rsidRDefault="008446AB" w:rsidP="00EA2BC8">
            <w:pPr>
              <w:rPr>
                <w:rFonts w:ascii="Times New Roman" w:hAnsi="Times New Roman" w:cs="Times New Roman"/>
                <w:sz w:val="24"/>
                <w:szCs w:val="24"/>
              </w:rPr>
            </w:pPr>
          </w:p>
        </w:tc>
        <w:tc>
          <w:tcPr>
            <w:tcW w:w="1843" w:type="dxa"/>
            <w:noWrap/>
            <w:hideMark/>
          </w:tcPr>
          <w:p w14:paraId="565DE0E1" w14:textId="77777777" w:rsidR="008446AB" w:rsidRPr="008446AB" w:rsidRDefault="008446AB" w:rsidP="00EA2BC8">
            <w:pPr>
              <w:rPr>
                <w:rFonts w:ascii="Times New Roman" w:hAnsi="Times New Roman" w:cs="Times New Roman"/>
                <w:sz w:val="24"/>
                <w:szCs w:val="24"/>
              </w:rPr>
            </w:pPr>
          </w:p>
        </w:tc>
        <w:tc>
          <w:tcPr>
            <w:tcW w:w="2126" w:type="dxa"/>
            <w:noWrap/>
            <w:hideMark/>
          </w:tcPr>
          <w:p w14:paraId="6A88F8EB" w14:textId="77777777" w:rsidR="008446AB" w:rsidRPr="008446AB" w:rsidRDefault="008446AB" w:rsidP="00EA2BC8">
            <w:pPr>
              <w:rPr>
                <w:rFonts w:ascii="Times New Roman" w:hAnsi="Times New Roman" w:cs="Times New Roman"/>
                <w:sz w:val="24"/>
                <w:szCs w:val="24"/>
              </w:rPr>
            </w:pPr>
          </w:p>
        </w:tc>
        <w:tc>
          <w:tcPr>
            <w:tcW w:w="284" w:type="dxa"/>
            <w:noWrap/>
            <w:hideMark/>
          </w:tcPr>
          <w:p w14:paraId="23C23FC4" w14:textId="77777777" w:rsidR="008446AB" w:rsidRPr="008446AB" w:rsidRDefault="008446AB" w:rsidP="00EA2BC8">
            <w:pPr>
              <w:rPr>
                <w:rFonts w:ascii="Times New Roman" w:hAnsi="Times New Roman" w:cs="Times New Roman"/>
                <w:sz w:val="24"/>
                <w:szCs w:val="24"/>
              </w:rPr>
            </w:pPr>
          </w:p>
        </w:tc>
        <w:tc>
          <w:tcPr>
            <w:tcW w:w="2268" w:type="dxa"/>
            <w:noWrap/>
            <w:hideMark/>
          </w:tcPr>
          <w:p w14:paraId="6E15075C" w14:textId="77777777" w:rsidR="008446AB" w:rsidRPr="008446AB" w:rsidRDefault="008446AB" w:rsidP="00EA2BC8">
            <w:pPr>
              <w:rPr>
                <w:rFonts w:ascii="Times New Roman" w:hAnsi="Times New Roman" w:cs="Times New Roman"/>
                <w:sz w:val="24"/>
                <w:szCs w:val="24"/>
              </w:rPr>
            </w:pPr>
          </w:p>
        </w:tc>
      </w:tr>
      <w:tr w:rsidR="008446AB" w:rsidRPr="008446AB" w14:paraId="51B8F658" w14:textId="77777777" w:rsidTr="00EA2BC8">
        <w:trPr>
          <w:trHeight w:val="288"/>
        </w:trPr>
        <w:tc>
          <w:tcPr>
            <w:tcW w:w="2830" w:type="dxa"/>
            <w:noWrap/>
            <w:hideMark/>
          </w:tcPr>
          <w:p w14:paraId="196686D7"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lastRenderedPageBreak/>
              <w:t>Legal, financial, and professional services</w:t>
            </w:r>
          </w:p>
        </w:tc>
        <w:tc>
          <w:tcPr>
            <w:tcW w:w="1843" w:type="dxa"/>
            <w:hideMark/>
          </w:tcPr>
          <w:p w14:paraId="0D4FA79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3DD429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A517D6B" w14:textId="77777777" w:rsidR="008446AB" w:rsidRPr="008446AB" w:rsidRDefault="008446AB" w:rsidP="00EA2BC8">
            <w:pPr>
              <w:rPr>
                <w:rFonts w:ascii="Times New Roman" w:hAnsi="Times New Roman" w:cs="Times New Roman"/>
                <w:sz w:val="24"/>
                <w:szCs w:val="24"/>
              </w:rPr>
            </w:pPr>
          </w:p>
        </w:tc>
        <w:tc>
          <w:tcPr>
            <w:tcW w:w="2268" w:type="dxa"/>
            <w:hideMark/>
          </w:tcPr>
          <w:p w14:paraId="4345396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37117BD7" w14:textId="77777777" w:rsidTr="00EA2BC8">
        <w:trPr>
          <w:trHeight w:val="288"/>
        </w:trPr>
        <w:tc>
          <w:tcPr>
            <w:tcW w:w="2830" w:type="dxa"/>
            <w:noWrap/>
            <w:hideMark/>
          </w:tcPr>
          <w:p w14:paraId="3FCF6F7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Bank charges</w:t>
            </w:r>
          </w:p>
        </w:tc>
        <w:tc>
          <w:tcPr>
            <w:tcW w:w="1843" w:type="dxa"/>
            <w:hideMark/>
          </w:tcPr>
          <w:p w14:paraId="13F374A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DD0123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258EF54" w14:textId="77777777" w:rsidR="008446AB" w:rsidRPr="008446AB" w:rsidRDefault="008446AB" w:rsidP="00EA2BC8">
            <w:pPr>
              <w:rPr>
                <w:rFonts w:ascii="Times New Roman" w:hAnsi="Times New Roman" w:cs="Times New Roman"/>
                <w:sz w:val="24"/>
                <w:szCs w:val="24"/>
              </w:rPr>
            </w:pPr>
          </w:p>
        </w:tc>
        <w:tc>
          <w:tcPr>
            <w:tcW w:w="2268" w:type="dxa"/>
            <w:hideMark/>
          </w:tcPr>
          <w:p w14:paraId="18E2277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65074137" w14:textId="77777777" w:rsidTr="00EA2BC8">
        <w:trPr>
          <w:trHeight w:val="288"/>
        </w:trPr>
        <w:tc>
          <w:tcPr>
            <w:tcW w:w="2830" w:type="dxa"/>
            <w:noWrap/>
            <w:hideMark/>
          </w:tcPr>
          <w:p w14:paraId="34C8BEF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Legal expenses</w:t>
            </w:r>
          </w:p>
        </w:tc>
        <w:tc>
          <w:tcPr>
            <w:tcW w:w="1843" w:type="dxa"/>
            <w:hideMark/>
          </w:tcPr>
          <w:p w14:paraId="145418F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94DF3B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E8BEB0E" w14:textId="77777777" w:rsidR="008446AB" w:rsidRPr="008446AB" w:rsidRDefault="008446AB" w:rsidP="00EA2BC8">
            <w:pPr>
              <w:rPr>
                <w:rFonts w:ascii="Times New Roman" w:hAnsi="Times New Roman" w:cs="Times New Roman"/>
                <w:sz w:val="24"/>
                <w:szCs w:val="24"/>
              </w:rPr>
            </w:pPr>
          </w:p>
        </w:tc>
        <w:tc>
          <w:tcPr>
            <w:tcW w:w="2268" w:type="dxa"/>
            <w:hideMark/>
          </w:tcPr>
          <w:p w14:paraId="18C552D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36A9E3BE" w14:textId="77777777" w:rsidTr="00EA2BC8">
        <w:trPr>
          <w:trHeight w:val="288"/>
        </w:trPr>
        <w:tc>
          <w:tcPr>
            <w:tcW w:w="2830" w:type="dxa"/>
            <w:noWrap/>
            <w:hideMark/>
          </w:tcPr>
          <w:p w14:paraId="625DCFA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Insurance</w:t>
            </w:r>
          </w:p>
        </w:tc>
        <w:tc>
          <w:tcPr>
            <w:tcW w:w="1843" w:type="dxa"/>
            <w:hideMark/>
          </w:tcPr>
          <w:p w14:paraId="43F3BFA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90CA49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513FC4A" w14:textId="77777777" w:rsidR="008446AB" w:rsidRPr="008446AB" w:rsidRDefault="008446AB" w:rsidP="00EA2BC8">
            <w:pPr>
              <w:rPr>
                <w:rFonts w:ascii="Times New Roman" w:hAnsi="Times New Roman" w:cs="Times New Roman"/>
                <w:sz w:val="24"/>
                <w:szCs w:val="24"/>
              </w:rPr>
            </w:pPr>
          </w:p>
        </w:tc>
        <w:tc>
          <w:tcPr>
            <w:tcW w:w="2268" w:type="dxa"/>
            <w:hideMark/>
          </w:tcPr>
          <w:p w14:paraId="1AC29A6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535BD49" w14:textId="77777777" w:rsidTr="00EA2BC8">
        <w:trPr>
          <w:trHeight w:val="288"/>
        </w:trPr>
        <w:tc>
          <w:tcPr>
            <w:tcW w:w="2830" w:type="dxa"/>
            <w:noWrap/>
            <w:hideMark/>
          </w:tcPr>
          <w:p w14:paraId="2E92BBB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Audit and accountancy fees</w:t>
            </w:r>
          </w:p>
        </w:tc>
        <w:tc>
          <w:tcPr>
            <w:tcW w:w="1843" w:type="dxa"/>
            <w:hideMark/>
          </w:tcPr>
          <w:p w14:paraId="4E37AD6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904070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A8F9E98" w14:textId="77777777" w:rsidR="008446AB" w:rsidRPr="008446AB" w:rsidRDefault="008446AB" w:rsidP="00EA2BC8">
            <w:pPr>
              <w:rPr>
                <w:rFonts w:ascii="Times New Roman" w:hAnsi="Times New Roman" w:cs="Times New Roman"/>
                <w:sz w:val="24"/>
                <w:szCs w:val="24"/>
              </w:rPr>
            </w:pPr>
          </w:p>
        </w:tc>
        <w:tc>
          <w:tcPr>
            <w:tcW w:w="2268" w:type="dxa"/>
            <w:hideMark/>
          </w:tcPr>
          <w:p w14:paraId="32C4066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4D254E54" w14:textId="77777777" w:rsidTr="00EA2BC8">
        <w:trPr>
          <w:trHeight w:val="288"/>
        </w:trPr>
        <w:tc>
          <w:tcPr>
            <w:tcW w:w="2830" w:type="dxa"/>
            <w:noWrap/>
            <w:hideMark/>
          </w:tcPr>
          <w:p w14:paraId="19AB71A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IT costs</w:t>
            </w:r>
          </w:p>
        </w:tc>
        <w:tc>
          <w:tcPr>
            <w:tcW w:w="1843" w:type="dxa"/>
            <w:hideMark/>
          </w:tcPr>
          <w:p w14:paraId="6133451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6ED88A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19F27BB" w14:textId="77777777" w:rsidR="008446AB" w:rsidRPr="008446AB" w:rsidRDefault="008446AB" w:rsidP="00EA2BC8">
            <w:pPr>
              <w:rPr>
                <w:rFonts w:ascii="Times New Roman" w:hAnsi="Times New Roman" w:cs="Times New Roman"/>
                <w:sz w:val="24"/>
                <w:szCs w:val="24"/>
              </w:rPr>
            </w:pPr>
          </w:p>
        </w:tc>
        <w:tc>
          <w:tcPr>
            <w:tcW w:w="2268" w:type="dxa"/>
            <w:hideMark/>
          </w:tcPr>
          <w:p w14:paraId="31C4275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3DAC855A" w14:textId="77777777" w:rsidTr="00EA2BC8">
        <w:trPr>
          <w:trHeight w:val="288"/>
        </w:trPr>
        <w:tc>
          <w:tcPr>
            <w:tcW w:w="2830" w:type="dxa"/>
            <w:noWrap/>
            <w:hideMark/>
          </w:tcPr>
          <w:p w14:paraId="2B3AC8A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Communication (post, telephone, internet)</w:t>
            </w:r>
          </w:p>
        </w:tc>
        <w:tc>
          <w:tcPr>
            <w:tcW w:w="1843" w:type="dxa"/>
            <w:hideMark/>
          </w:tcPr>
          <w:p w14:paraId="09317EB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AD74BE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088E9AA" w14:textId="77777777" w:rsidR="008446AB" w:rsidRPr="008446AB" w:rsidRDefault="008446AB" w:rsidP="00EA2BC8">
            <w:pPr>
              <w:rPr>
                <w:rFonts w:ascii="Times New Roman" w:hAnsi="Times New Roman" w:cs="Times New Roman"/>
                <w:sz w:val="24"/>
                <w:szCs w:val="24"/>
              </w:rPr>
            </w:pPr>
          </w:p>
        </w:tc>
        <w:tc>
          <w:tcPr>
            <w:tcW w:w="2268" w:type="dxa"/>
            <w:hideMark/>
          </w:tcPr>
          <w:p w14:paraId="5F78F06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5B672856" w14:textId="77777777" w:rsidTr="00EA2BC8">
        <w:trPr>
          <w:trHeight w:val="288"/>
        </w:trPr>
        <w:tc>
          <w:tcPr>
            <w:tcW w:w="2830" w:type="dxa"/>
            <w:noWrap/>
            <w:hideMark/>
          </w:tcPr>
          <w:p w14:paraId="1E849BE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Advertising and marketing</w:t>
            </w:r>
          </w:p>
        </w:tc>
        <w:tc>
          <w:tcPr>
            <w:tcW w:w="1843" w:type="dxa"/>
            <w:hideMark/>
          </w:tcPr>
          <w:p w14:paraId="605E787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3411F6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45DF9DA" w14:textId="77777777" w:rsidR="008446AB" w:rsidRPr="008446AB" w:rsidRDefault="008446AB" w:rsidP="00EA2BC8">
            <w:pPr>
              <w:rPr>
                <w:rFonts w:ascii="Times New Roman" w:hAnsi="Times New Roman" w:cs="Times New Roman"/>
                <w:sz w:val="24"/>
                <w:szCs w:val="24"/>
              </w:rPr>
            </w:pPr>
          </w:p>
        </w:tc>
        <w:tc>
          <w:tcPr>
            <w:tcW w:w="2268" w:type="dxa"/>
            <w:hideMark/>
          </w:tcPr>
          <w:p w14:paraId="7446CE5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181EEBE3" w14:textId="77777777" w:rsidTr="00EA2BC8">
        <w:trPr>
          <w:trHeight w:val="288"/>
        </w:trPr>
        <w:tc>
          <w:tcPr>
            <w:tcW w:w="2830" w:type="dxa"/>
            <w:noWrap/>
            <w:hideMark/>
          </w:tcPr>
          <w:p w14:paraId="1F835CC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Education &amp; training</w:t>
            </w:r>
          </w:p>
        </w:tc>
        <w:tc>
          <w:tcPr>
            <w:tcW w:w="1843" w:type="dxa"/>
            <w:hideMark/>
          </w:tcPr>
          <w:p w14:paraId="0D8A5F7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07C00D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037FD17" w14:textId="77777777" w:rsidR="008446AB" w:rsidRPr="008446AB" w:rsidRDefault="008446AB" w:rsidP="00EA2BC8">
            <w:pPr>
              <w:rPr>
                <w:rFonts w:ascii="Times New Roman" w:hAnsi="Times New Roman" w:cs="Times New Roman"/>
                <w:sz w:val="24"/>
                <w:szCs w:val="24"/>
              </w:rPr>
            </w:pPr>
          </w:p>
        </w:tc>
        <w:tc>
          <w:tcPr>
            <w:tcW w:w="2268" w:type="dxa"/>
            <w:hideMark/>
          </w:tcPr>
          <w:p w14:paraId="7EF5007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6F8114F9" w14:textId="77777777" w:rsidTr="00EA2BC8">
        <w:trPr>
          <w:trHeight w:val="288"/>
        </w:trPr>
        <w:tc>
          <w:tcPr>
            <w:tcW w:w="2830" w:type="dxa"/>
            <w:noWrap/>
            <w:hideMark/>
          </w:tcPr>
          <w:p w14:paraId="754C167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Cleaning</w:t>
            </w:r>
          </w:p>
        </w:tc>
        <w:tc>
          <w:tcPr>
            <w:tcW w:w="1843" w:type="dxa"/>
            <w:hideMark/>
          </w:tcPr>
          <w:p w14:paraId="0307AE0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8AB01C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36F1518" w14:textId="77777777" w:rsidR="008446AB" w:rsidRPr="008446AB" w:rsidRDefault="008446AB" w:rsidP="00EA2BC8">
            <w:pPr>
              <w:rPr>
                <w:rFonts w:ascii="Times New Roman" w:hAnsi="Times New Roman" w:cs="Times New Roman"/>
                <w:sz w:val="24"/>
                <w:szCs w:val="24"/>
              </w:rPr>
            </w:pPr>
          </w:p>
        </w:tc>
        <w:tc>
          <w:tcPr>
            <w:tcW w:w="2268" w:type="dxa"/>
            <w:hideMark/>
          </w:tcPr>
          <w:p w14:paraId="47890B3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35307D48" w14:textId="77777777" w:rsidTr="00EA2BC8">
        <w:trPr>
          <w:trHeight w:val="288"/>
        </w:trPr>
        <w:tc>
          <w:tcPr>
            <w:tcW w:w="2830" w:type="dxa"/>
            <w:noWrap/>
            <w:hideMark/>
          </w:tcPr>
          <w:p w14:paraId="460E914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Other professional services</w:t>
            </w:r>
          </w:p>
        </w:tc>
        <w:tc>
          <w:tcPr>
            <w:tcW w:w="1843" w:type="dxa"/>
            <w:hideMark/>
          </w:tcPr>
          <w:p w14:paraId="37E88F0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FC42D3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407E58F" w14:textId="77777777" w:rsidR="008446AB" w:rsidRPr="008446AB" w:rsidRDefault="008446AB" w:rsidP="00EA2BC8">
            <w:pPr>
              <w:rPr>
                <w:rFonts w:ascii="Times New Roman" w:hAnsi="Times New Roman" w:cs="Times New Roman"/>
                <w:sz w:val="24"/>
                <w:szCs w:val="24"/>
              </w:rPr>
            </w:pPr>
          </w:p>
        </w:tc>
        <w:tc>
          <w:tcPr>
            <w:tcW w:w="2268" w:type="dxa"/>
            <w:hideMark/>
          </w:tcPr>
          <w:p w14:paraId="4DFE708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455A1E6F" w14:textId="77777777" w:rsidTr="00EA2BC8">
        <w:trPr>
          <w:trHeight w:val="288"/>
        </w:trPr>
        <w:tc>
          <w:tcPr>
            <w:tcW w:w="2830" w:type="dxa"/>
            <w:noWrap/>
          </w:tcPr>
          <w:p w14:paraId="20430581" w14:textId="77777777" w:rsidR="008446AB" w:rsidRPr="008446AB" w:rsidRDefault="008446AB" w:rsidP="00EA2BC8">
            <w:pPr>
              <w:rPr>
                <w:rFonts w:ascii="Times New Roman" w:hAnsi="Times New Roman" w:cs="Times New Roman"/>
                <w:sz w:val="24"/>
                <w:szCs w:val="24"/>
              </w:rPr>
            </w:pPr>
          </w:p>
        </w:tc>
        <w:tc>
          <w:tcPr>
            <w:tcW w:w="1843" w:type="dxa"/>
          </w:tcPr>
          <w:p w14:paraId="4636F13E" w14:textId="77777777" w:rsidR="008446AB" w:rsidRPr="008446AB" w:rsidRDefault="008446AB" w:rsidP="00EA2BC8">
            <w:pPr>
              <w:rPr>
                <w:rFonts w:ascii="Times New Roman" w:hAnsi="Times New Roman" w:cs="Times New Roman"/>
                <w:sz w:val="24"/>
                <w:szCs w:val="24"/>
              </w:rPr>
            </w:pPr>
          </w:p>
        </w:tc>
        <w:tc>
          <w:tcPr>
            <w:tcW w:w="2126" w:type="dxa"/>
          </w:tcPr>
          <w:p w14:paraId="44D1A706" w14:textId="77777777" w:rsidR="008446AB" w:rsidRPr="008446AB" w:rsidRDefault="008446AB" w:rsidP="00EA2BC8">
            <w:pPr>
              <w:rPr>
                <w:rFonts w:ascii="Times New Roman" w:hAnsi="Times New Roman" w:cs="Times New Roman"/>
                <w:sz w:val="24"/>
                <w:szCs w:val="24"/>
              </w:rPr>
            </w:pPr>
          </w:p>
        </w:tc>
        <w:tc>
          <w:tcPr>
            <w:tcW w:w="284" w:type="dxa"/>
            <w:noWrap/>
          </w:tcPr>
          <w:p w14:paraId="3A01604E" w14:textId="77777777" w:rsidR="008446AB" w:rsidRPr="008446AB" w:rsidRDefault="008446AB" w:rsidP="00EA2BC8">
            <w:pPr>
              <w:rPr>
                <w:rFonts w:ascii="Times New Roman" w:hAnsi="Times New Roman" w:cs="Times New Roman"/>
                <w:sz w:val="24"/>
                <w:szCs w:val="24"/>
              </w:rPr>
            </w:pPr>
          </w:p>
        </w:tc>
        <w:tc>
          <w:tcPr>
            <w:tcW w:w="2268" w:type="dxa"/>
          </w:tcPr>
          <w:p w14:paraId="61D862FB" w14:textId="77777777" w:rsidR="008446AB" w:rsidRPr="008446AB" w:rsidRDefault="008446AB" w:rsidP="00EA2BC8">
            <w:pPr>
              <w:rPr>
                <w:rFonts w:ascii="Times New Roman" w:hAnsi="Times New Roman" w:cs="Times New Roman"/>
                <w:sz w:val="24"/>
                <w:szCs w:val="24"/>
              </w:rPr>
            </w:pPr>
          </w:p>
        </w:tc>
      </w:tr>
      <w:tr w:rsidR="008446AB" w:rsidRPr="008446AB" w14:paraId="4F13ED7B" w14:textId="77777777" w:rsidTr="00EA2BC8">
        <w:trPr>
          <w:trHeight w:val="288"/>
        </w:trPr>
        <w:tc>
          <w:tcPr>
            <w:tcW w:w="2830" w:type="dxa"/>
            <w:noWrap/>
            <w:hideMark/>
          </w:tcPr>
          <w:p w14:paraId="2D4E6DB4"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Research and development</w:t>
            </w:r>
          </w:p>
        </w:tc>
        <w:tc>
          <w:tcPr>
            <w:tcW w:w="1843" w:type="dxa"/>
            <w:hideMark/>
          </w:tcPr>
          <w:p w14:paraId="34D3630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C8A550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1EC35A5" w14:textId="77777777" w:rsidR="008446AB" w:rsidRPr="008446AB" w:rsidRDefault="008446AB" w:rsidP="00EA2BC8">
            <w:pPr>
              <w:rPr>
                <w:rFonts w:ascii="Times New Roman" w:hAnsi="Times New Roman" w:cs="Times New Roman"/>
                <w:sz w:val="24"/>
                <w:szCs w:val="24"/>
              </w:rPr>
            </w:pPr>
          </w:p>
        </w:tc>
        <w:tc>
          <w:tcPr>
            <w:tcW w:w="2268" w:type="dxa"/>
            <w:hideMark/>
          </w:tcPr>
          <w:p w14:paraId="6DD2E7C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5172EC48" w14:textId="77777777" w:rsidTr="00EA2BC8">
        <w:trPr>
          <w:trHeight w:val="288"/>
        </w:trPr>
        <w:tc>
          <w:tcPr>
            <w:tcW w:w="2830" w:type="dxa"/>
            <w:noWrap/>
            <w:hideMark/>
          </w:tcPr>
          <w:p w14:paraId="4A8A5622" w14:textId="151A478A" w:rsidR="008446AB" w:rsidRPr="008446AB" w:rsidRDefault="00356FA1" w:rsidP="00EA2BC8">
            <w:pPr>
              <w:rPr>
                <w:rFonts w:ascii="Times New Roman" w:hAnsi="Times New Roman" w:cs="Times New Roman"/>
                <w:sz w:val="24"/>
                <w:szCs w:val="24"/>
              </w:rPr>
            </w:pPr>
            <w:r>
              <w:rPr>
                <w:rFonts w:ascii="Times New Roman" w:hAnsi="Times New Roman" w:cs="Times New Roman"/>
                <w:sz w:val="24"/>
                <w:szCs w:val="24"/>
              </w:rPr>
              <w:t>R&amp;D expenses</w:t>
            </w:r>
          </w:p>
        </w:tc>
        <w:tc>
          <w:tcPr>
            <w:tcW w:w="1843" w:type="dxa"/>
            <w:noWrap/>
            <w:hideMark/>
          </w:tcPr>
          <w:p w14:paraId="38173703" w14:textId="77777777" w:rsidR="008446AB" w:rsidRPr="008446AB" w:rsidRDefault="008446AB" w:rsidP="00EA2BC8">
            <w:pPr>
              <w:rPr>
                <w:rFonts w:ascii="Times New Roman" w:hAnsi="Times New Roman" w:cs="Times New Roman"/>
                <w:sz w:val="24"/>
                <w:szCs w:val="24"/>
              </w:rPr>
            </w:pPr>
          </w:p>
        </w:tc>
        <w:tc>
          <w:tcPr>
            <w:tcW w:w="2126" w:type="dxa"/>
            <w:noWrap/>
            <w:hideMark/>
          </w:tcPr>
          <w:p w14:paraId="6DA62DB4" w14:textId="77777777" w:rsidR="008446AB" w:rsidRPr="008446AB" w:rsidRDefault="008446AB" w:rsidP="00EA2BC8">
            <w:pPr>
              <w:rPr>
                <w:rFonts w:ascii="Times New Roman" w:hAnsi="Times New Roman" w:cs="Times New Roman"/>
                <w:sz w:val="24"/>
                <w:szCs w:val="24"/>
              </w:rPr>
            </w:pPr>
          </w:p>
        </w:tc>
        <w:tc>
          <w:tcPr>
            <w:tcW w:w="284" w:type="dxa"/>
            <w:noWrap/>
            <w:hideMark/>
          </w:tcPr>
          <w:p w14:paraId="1B343466" w14:textId="77777777" w:rsidR="008446AB" w:rsidRPr="008446AB" w:rsidRDefault="008446AB" w:rsidP="00EA2BC8">
            <w:pPr>
              <w:rPr>
                <w:rFonts w:ascii="Times New Roman" w:hAnsi="Times New Roman" w:cs="Times New Roman"/>
                <w:sz w:val="24"/>
                <w:szCs w:val="24"/>
              </w:rPr>
            </w:pPr>
          </w:p>
        </w:tc>
        <w:tc>
          <w:tcPr>
            <w:tcW w:w="2268" w:type="dxa"/>
            <w:noWrap/>
            <w:hideMark/>
          </w:tcPr>
          <w:p w14:paraId="3CCAF702" w14:textId="77777777" w:rsidR="008446AB" w:rsidRPr="008446AB" w:rsidRDefault="008446AB" w:rsidP="00EA2BC8">
            <w:pPr>
              <w:rPr>
                <w:rFonts w:ascii="Times New Roman" w:hAnsi="Times New Roman" w:cs="Times New Roman"/>
                <w:sz w:val="24"/>
                <w:szCs w:val="24"/>
              </w:rPr>
            </w:pPr>
          </w:p>
        </w:tc>
      </w:tr>
      <w:tr w:rsidR="00356FA1" w:rsidRPr="008446AB" w14:paraId="3190666E" w14:textId="77777777" w:rsidTr="00EA2BC8">
        <w:trPr>
          <w:trHeight w:val="288"/>
        </w:trPr>
        <w:tc>
          <w:tcPr>
            <w:tcW w:w="2830" w:type="dxa"/>
            <w:noWrap/>
          </w:tcPr>
          <w:p w14:paraId="55870FBC" w14:textId="77777777" w:rsidR="00356FA1" w:rsidRPr="008446AB" w:rsidRDefault="00356FA1" w:rsidP="00EA2BC8">
            <w:pPr>
              <w:rPr>
                <w:rFonts w:ascii="Times New Roman" w:hAnsi="Times New Roman" w:cs="Times New Roman"/>
                <w:sz w:val="24"/>
                <w:szCs w:val="24"/>
              </w:rPr>
            </w:pPr>
          </w:p>
        </w:tc>
        <w:tc>
          <w:tcPr>
            <w:tcW w:w="1843" w:type="dxa"/>
            <w:noWrap/>
          </w:tcPr>
          <w:p w14:paraId="397386C6" w14:textId="77777777" w:rsidR="00356FA1" w:rsidRPr="008446AB" w:rsidRDefault="00356FA1" w:rsidP="00EA2BC8">
            <w:pPr>
              <w:rPr>
                <w:rFonts w:ascii="Times New Roman" w:hAnsi="Times New Roman" w:cs="Times New Roman"/>
                <w:sz w:val="24"/>
                <w:szCs w:val="24"/>
              </w:rPr>
            </w:pPr>
          </w:p>
        </w:tc>
        <w:tc>
          <w:tcPr>
            <w:tcW w:w="2126" w:type="dxa"/>
            <w:noWrap/>
          </w:tcPr>
          <w:p w14:paraId="20062DDA" w14:textId="77777777" w:rsidR="00356FA1" w:rsidRPr="008446AB" w:rsidRDefault="00356FA1" w:rsidP="00EA2BC8">
            <w:pPr>
              <w:rPr>
                <w:rFonts w:ascii="Times New Roman" w:hAnsi="Times New Roman" w:cs="Times New Roman"/>
                <w:sz w:val="24"/>
                <w:szCs w:val="24"/>
              </w:rPr>
            </w:pPr>
          </w:p>
        </w:tc>
        <w:tc>
          <w:tcPr>
            <w:tcW w:w="284" w:type="dxa"/>
            <w:noWrap/>
          </w:tcPr>
          <w:p w14:paraId="2819C875" w14:textId="77777777" w:rsidR="00356FA1" w:rsidRPr="008446AB" w:rsidRDefault="00356FA1" w:rsidP="00EA2BC8">
            <w:pPr>
              <w:rPr>
                <w:rFonts w:ascii="Times New Roman" w:hAnsi="Times New Roman" w:cs="Times New Roman"/>
                <w:sz w:val="24"/>
                <w:szCs w:val="24"/>
              </w:rPr>
            </w:pPr>
          </w:p>
        </w:tc>
        <w:tc>
          <w:tcPr>
            <w:tcW w:w="2268" w:type="dxa"/>
            <w:noWrap/>
          </w:tcPr>
          <w:p w14:paraId="002BF631" w14:textId="77777777" w:rsidR="00356FA1" w:rsidRPr="008446AB" w:rsidRDefault="00356FA1" w:rsidP="00EA2BC8">
            <w:pPr>
              <w:rPr>
                <w:rFonts w:ascii="Times New Roman" w:hAnsi="Times New Roman" w:cs="Times New Roman"/>
                <w:sz w:val="24"/>
                <w:szCs w:val="24"/>
              </w:rPr>
            </w:pPr>
          </w:p>
        </w:tc>
      </w:tr>
      <w:tr w:rsidR="008446AB" w:rsidRPr="008446AB" w14:paraId="743D357D" w14:textId="77777777" w:rsidTr="00EA2BC8">
        <w:trPr>
          <w:trHeight w:val="288"/>
        </w:trPr>
        <w:tc>
          <w:tcPr>
            <w:tcW w:w="2830" w:type="dxa"/>
            <w:noWrap/>
            <w:hideMark/>
          </w:tcPr>
          <w:p w14:paraId="40DF56DB"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Real estate</w:t>
            </w:r>
          </w:p>
        </w:tc>
        <w:tc>
          <w:tcPr>
            <w:tcW w:w="1843" w:type="dxa"/>
            <w:hideMark/>
          </w:tcPr>
          <w:p w14:paraId="5313DB1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BC8B86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E581AD8" w14:textId="77777777" w:rsidR="008446AB" w:rsidRPr="008446AB" w:rsidRDefault="008446AB" w:rsidP="00EA2BC8">
            <w:pPr>
              <w:rPr>
                <w:rFonts w:ascii="Times New Roman" w:hAnsi="Times New Roman" w:cs="Times New Roman"/>
                <w:sz w:val="24"/>
                <w:szCs w:val="24"/>
              </w:rPr>
            </w:pPr>
          </w:p>
        </w:tc>
        <w:tc>
          <w:tcPr>
            <w:tcW w:w="2268" w:type="dxa"/>
            <w:hideMark/>
          </w:tcPr>
          <w:p w14:paraId="350AA3D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1F879713" w14:textId="77777777" w:rsidTr="00EA2BC8">
        <w:trPr>
          <w:trHeight w:val="288"/>
        </w:trPr>
        <w:tc>
          <w:tcPr>
            <w:tcW w:w="2830" w:type="dxa"/>
            <w:noWrap/>
            <w:hideMark/>
          </w:tcPr>
          <w:p w14:paraId="6B3A054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Leasing &amp; renting of dwellings</w:t>
            </w:r>
          </w:p>
        </w:tc>
        <w:tc>
          <w:tcPr>
            <w:tcW w:w="1843" w:type="dxa"/>
            <w:hideMark/>
          </w:tcPr>
          <w:p w14:paraId="2BEA55C8"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7E9A868"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9EE73F3" w14:textId="77777777" w:rsidR="008446AB" w:rsidRPr="008446AB" w:rsidRDefault="008446AB" w:rsidP="00EA2BC8">
            <w:pPr>
              <w:rPr>
                <w:rFonts w:ascii="Times New Roman" w:hAnsi="Times New Roman" w:cs="Times New Roman"/>
                <w:sz w:val="24"/>
                <w:szCs w:val="24"/>
              </w:rPr>
            </w:pPr>
          </w:p>
        </w:tc>
        <w:tc>
          <w:tcPr>
            <w:tcW w:w="2268" w:type="dxa"/>
            <w:hideMark/>
          </w:tcPr>
          <w:p w14:paraId="0BE306C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3F712B54" w14:textId="77777777" w:rsidTr="00EA2BC8">
        <w:trPr>
          <w:trHeight w:val="288"/>
        </w:trPr>
        <w:tc>
          <w:tcPr>
            <w:tcW w:w="2830" w:type="dxa"/>
            <w:noWrap/>
            <w:hideMark/>
          </w:tcPr>
          <w:p w14:paraId="2FBB6FC5" w14:textId="77777777" w:rsidR="008446AB" w:rsidRPr="008446AB" w:rsidRDefault="008446AB" w:rsidP="00EA2BC8">
            <w:pPr>
              <w:rPr>
                <w:rFonts w:ascii="Times New Roman" w:hAnsi="Times New Roman" w:cs="Times New Roman"/>
                <w:sz w:val="24"/>
                <w:szCs w:val="24"/>
              </w:rPr>
            </w:pPr>
          </w:p>
        </w:tc>
        <w:tc>
          <w:tcPr>
            <w:tcW w:w="1843" w:type="dxa"/>
            <w:noWrap/>
            <w:hideMark/>
          </w:tcPr>
          <w:p w14:paraId="44BBB76D" w14:textId="77777777" w:rsidR="008446AB" w:rsidRPr="008446AB" w:rsidRDefault="008446AB" w:rsidP="00EA2BC8">
            <w:pPr>
              <w:rPr>
                <w:rFonts w:ascii="Times New Roman" w:hAnsi="Times New Roman" w:cs="Times New Roman"/>
                <w:sz w:val="24"/>
                <w:szCs w:val="24"/>
              </w:rPr>
            </w:pPr>
          </w:p>
        </w:tc>
        <w:tc>
          <w:tcPr>
            <w:tcW w:w="2126" w:type="dxa"/>
            <w:noWrap/>
            <w:hideMark/>
          </w:tcPr>
          <w:p w14:paraId="7078A8C9" w14:textId="77777777" w:rsidR="008446AB" w:rsidRPr="008446AB" w:rsidRDefault="008446AB" w:rsidP="00EA2BC8">
            <w:pPr>
              <w:rPr>
                <w:rFonts w:ascii="Times New Roman" w:hAnsi="Times New Roman" w:cs="Times New Roman"/>
                <w:sz w:val="24"/>
                <w:szCs w:val="24"/>
              </w:rPr>
            </w:pPr>
          </w:p>
        </w:tc>
        <w:tc>
          <w:tcPr>
            <w:tcW w:w="284" w:type="dxa"/>
            <w:noWrap/>
            <w:hideMark/>
          </w:tcPr>
          <w:p w14:paraId="5FF01F34" w14:textId="77777777" w:rsidR="008446AB" w:rsidRPr="008446AB" w:rsidRDefault="008446AB" w:rsidP="00EA2BC8">
            <w:pPr>
              <w:rPr>
                <w:rFonts w:ascii="Times New Roman" w:hAnsi="Times New Roman" w:cs="Times New Roman"/>
                <w:sz w:val="24"/>
                <w:szCs w:val="24"/>
              </w:rPr>
            </w:pPr>
          </w:p>
        </w:tc>
        <w:tc>
          <w:tcPr>
            <w:tcW w:w="2268" w:type="dxa"/>
            <w:noWrap/>
            <w:hideMark/>
          </w:tcPr>
          <w:p w14:paraId="19E9F538" w14:textId="77777777" w:rsidR="008446AB" w:rsidRPr="008446AB" w:rsidRDefault="008446AB" w:rsidP="00EA2BC8">
            <w:pPr>
              <w:rPr>
                <w:rFonts w:ascii="Times New Roman" w:hAnsi="Times New Roman" w:cs="Times New Roman"/>
                <w:sz w:val="24"/>
                <w:szCs w:val="24"/>
              </w:rPr>
            </w:pPr>
          </w:p>
        </w:tc>
      </w:tr>
      <w:tr w:rsidR="008446AB" w:rsidRPr="008446AB" w14:paraId="40287AE8" w14:textId="77777777" w:rsidTr="00EA2BC8">
        <w:trPr>
          <w:trHeight w:val="288"/>
        </w:trPr>
        <w:tc>
          <w:tcPr>
            <w:tcW w:w="2830" w:type="dxa"/>
            <w:noWrap/>
            <w:hideMark/>
          </w:tcPr>
          <w:p w14:paraId="73980204"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Other expenses</w:t>
            </w:r>
          </w:p>
        </w:tc>
        <w:tc>
          <w:tcPr>
            <w:tcW w:w="1843" w:type="dxa"/>
            <w:hideMark/>
          </w:tcPr>
          <w:p w14:paraId="29923EC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A7E29C8"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515DC4A" w14:textId="77777777" w:rsidR="008446AB" w:rsidRPr="008446AB" w:rsidRDefault="008446AB" w:rsidP="00EA2BC8">
            <w:pPr>
              <w:rPr>
                <w:rFonts w:ascii="Times New Roman" w:hAnsi="Times New Roman" w:cs="Times New Roman"/>
                <w:sz w:val="24"/>
                <w:szCs w:val="24"/>
              </w:rPr>
            </w:pPr>
          </w:p>
        </w:tc>
        <w:tc>
          <w:tcPr>
            <w:tcW w:w="2268" w:type="dxa"/>
            <w:hideMark/>
          </w:tcPr>
          <w:p w14:paraId="32B0B55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6072B26F" w14:textId="77777777" w:rsidTr="00EA2BC8">
        <w:trPr>
          <w:trHeight w:val="288"/>
        </w:trPr>
        <w:tc>
          <w:tcPr>
            <w:tcW w:w="2830" w:type="dxa"/>
            <w:noWrap/>
            <w:hideMark/>
          </w:tcPr>
          <w:p w14:paraId="6BFFDCA3"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Miscellaneous office expenses</w:t>
            </w:r>
          </w:p>
        </w:tc>
        <w:tc>
          <w:tcPr>
            <w:tcW w:w="1843" w:type="dxa"/>
            <w:hideMark/>
          </w:tcPr>
          <w:p w14:paraId="51C0488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8AC6CC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9D66F3A" w14:textId="77777777" w:rsidR="008446AB" w:rsidRPr="008446AB" w:rsidRDefault="008446AB" w:rsidP="00EA2BC8">
            <w:pPr>
              <w:rPr>
                <w:rFonts w:ascii="Times New Roman" w:hAnsi="Times New Roman" w:cs="Times New Roman"/>
                <w:sz w:val="24"/>
                <w:szCs w:val="24"/>
              </w:rPr>
            </w:pPr>
          </w:p>
        </w:tc>
        <w:tc>
          <w:tcPr>
            <w:tcW w:w="2268" w:type="dxa"/>
            <w:hideMark/>
          </w:tcPr>
          <w:p w14:paraId="6275E8D9"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6186E74A" w14:textId="77777777" w:rsidTr="00EA2BC8">
        <w:trPr>
          <w:trHeight w:val="288"/>
        </w:trPr>
        <w:tc>
          <w:tcPr>
            <w:tcW w:w="2830" w:type="dxa"/>
            <w:noWrap/>
            <w:hideMark/>
          </w:tcPr>
          <w:p w14:paraId="2B3431D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Transport equipment (excluding vessels)</w:t>
            </w:r>
          </w:p>
        </w:tc>
        <w:tc>
          <w:tcPr>
            <w:tcW w:w="1843" w:type="dxa"/>
            <w:hideMark/>
          </w:tcPr>
          <w:p w14:paraId="0C6956C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0320CC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B21AA0D" w14:textId="77777777" w:rsidR="008446AB" w:rsidRPr="008446AB" w:rsidRDefault="008446AB" w:rsidP="00EA2BC8">
            <w:pPr>
              <w:rPr>
                <w:rFonts w:ascii="Times New Roman" w:hAnsi="Times New Roman" w:cs="Times New Roman"/>
                <w:sz w:val="24"/>
                <w:szCs w:val="24"/>
              </w:rPr>
            </w:pPr>
          </w:p>
        </w:tc>
        <w:tc>
          <w:tcPr>
            <w:tcW w:w="2268" w:type="dxa"/>
            <w:hideMark/>
          </w:tcPr>
          <w:p w14:paraId="35859A8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36AF62EA" w14:textId="77777777" w:rsidTr="00EA2BC8">
        <w:trPr>
          <w:trHeight w:val="288"/>
        </w:trPr>
        <w:tc>
          <w:tcPr>
            <w:tcW w:w="2830" w:type="dxa"/>
            <w:noWrap/>
            <w:hideMark/>
          </w:tcPr>
          <w:p w14:paraId="0F63FA7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Vehicle running costs</w:t>
            </w:r>
          </w:p>
        </w:tc>
        <w:tc>
          <w:tcPr>
            <w:tcW w:w="1843" w:type="dxa"/>
            <w:hideMark/>
          </w:tcPr>
          <w:p w14:paraId="098BA4D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D403D4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47C8159" w14:textId="77777777" w:rsidR="008446AB" w:rsidRPr="008446AB" w:rsidRDefault="008446AB" w:rsidP="00EA2BC8">
            <w:pPr>
              <w:rPr>
                <w:rFonts w:ascii="Times New Roman" w:hAnsi="Times New Roman" w:cs="Times New Roman"/>
                <w:sz w:val="24"/>
                <w:szCs w:val="24"/>
              </w:rPr>
            </w:pPr>
          </w:p>
        </w:tc>
        <w:tc>
          <w:tcPr>
            <w:tcW w:w="2268" w:type="dxa"/>
            <w:hideMark/>
          </w:tcPr>
          <w:p w14:paraId="277B0D0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3B31FA6D" w14:textId="77777777" w:rsidTr="00EA2BC8">
        <w:trPr>
          <w:trHeight w:val="288"/>
        </w:trPr>
        <w:tc>
          <w:tcPr>
            <w:tcW w:w="2830" w:type="dxa"/>
            <w:noWrap/>
            <w:hideMark/>
          </w:tcPr>
          <w:p w14:paraId="01728CA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Donations</w:t>
            </w:r>
          </w:p>
        </w:tc>
        <w:tc>
          <w:tcPr>
            <w:tcW w:w="1843" w:type="dxa"/>
            <w:hideMark/>
          </w:tcPr>
          <w:p w14:paraId="228A3D0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C5514E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70EFC6D" w14:textId="77777777" w:rsidR="008446AB" w:rsidRPr="008446AB" w:rsidRDefault="008446AB" w:rsidP="00EA2BC8">
            <w:pPr>
              <w:rPr>
                <w:rFonts w:ascii="Times New Roman" w:hAnsi="Times New Roman" w:cs="Times New Roman"/>
                <w:sz w:val="24"/>
                <w:szCs w:val="24"/>
              </w:rPr>
            </w:pPr>
          </w:p>
        </w:tc>
        <w:tc>
          <w:tcPr>
            <w:tcW w:w="2268" w:type="dxa"/>
            <w:hideMark/>
          </w:tcPr>
          <w:p w14:paraId="74F6CD61"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74B9C4D3" w14:textId="77777777" w:rsidTr="00EA2BC8">
        <w:trPr>
          <w:trHeight w:val="288"/>
        </w:trPr>
        <w:tc>
          <w:tcPr>
            <w:tcW w:w="2830" w:type="dxa"/>
            <w:noWrap/>
            <w:hideMark/>
          </w:tcPr>
          <w:p w14:paraId="0760E89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Subscriptions</w:t>
            </w:r>
          </w:p>
        </w:tc>
        <w:tc>
          <w:tcPr>
            <w:tcW w:w="1843" w:type="dxa"/>
            <w:hideMark/>
          </w:tcPr>
          <w:p w14:paraId="2BC6A24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E4D0A1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C89BF77" w14:textId="77777777" w:rsidR="008446AB" w:rsidRPr="008446AB" w:rsidRDefault="008446AB" w:rsidP="00EA2BC8">
            <w:pPr>
              <w:rPr>
                <w:rFonts w:ascii="Times New Roman" w:hAnsi="Times New Roman" w:cs="Times New Roman"/>
                <w:sz w:val="24"/>
                <w:szCs w:val="24"/>
              </w:rPr>
            </w:pPr>
          </w:p>
        </w:tc>
        <w:tc>
          <w:tcPr>
            <w:tcW w:w="2268" w:type="dxa"/>
            <w:hideMark/>
          </w:tcPr>
          <w:p w14:paraId="7B833CA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E27BDA3" w14:textId="77777777" w:rsidTr="00EA2BC8">
        <w:trPr>
          <w:trHeight w:val="288"/>
        </w:trPr>
        <w:tc>
          <w:tcPr>
            <w:tcW w:w="2830" w:type="dxa"/>
            <w:noWrap/>
            <w:hideMark/>
          </w:tcPr>
          <w:p w14:paraId="15C0D8D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Entertaining</w:t>
            </w:r>
          </w:p>
        </w:tc>
        <w:tc>
          <w:tcPr>
            <w:tcW w:w="1843" w:type="dxa"/>
            <w:hideMark/>
          </w:tcPr>
          <w:p w14:paraId="224BE2F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44EC0F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C4CEBFD" w14:textId="77777777" w:rsidR="008446AB" w:rsidRPr="008446AB" w:rsidRDefault="008446AB" w:rsidP="00EA2BC8">
            <w:pPr>
              <w:rPr>
                <w:rFonts w:ascii="Times New Roman" w:hAnsi="Times New Roman" w:cs="Times New Roman"/>
                <w:sz w:val="24"/>
                <w:szCs w:val="24"/>
              </w:rPr>
            </w:pPr>
          </w:p>
        </w:tc>
        <w:tc>
          <w:tcPr>
            <w:tcW w:w="2268" w:type="dxa"/>
            <w:hideMark/>
          </w:tcPr>
          <w:p w14:paraId="5E062E3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7188A063" w14:textId="77777777" w:rsidTr="00EA2BC8">
        <w:trPr>
          <w:trHeight w:val="288"/>
        </w:trPr>
        <w:tc>
          <w:tcPr>
            <w:tcW w:w="2830" w:type="dxa"/>
            <w:noWrap/>
            <w:hideMark/>
          </w:tcPr>
          <w:p w14:paraId="45A2DEE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Fairs &amp; shows</w:t>
            </w:r>
          </w:p>
        </w:tc>
        <w:tc>
          <w:tcPr>
            <w:tcW w:w="1843" w:type="dxa"/>
            <w:hideMark/>
          </w:tcPr>
          <w:p w14:paraId="144DD86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972A4E8"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E2D1D72" w14:textId="77777777" w:rsidR="008446AB" w:rsidRPr="008446AB" w:rsidRDefault="008446AB" w:rsidP="00EA2BC8">
            <w:pPr>
              <w:rPr>
                <w:rFonts w:ascii="Times New Roman" w:hAnsi="Times New Roman" w:cs="Times New Roman"/>
                <w:sz w:val="24"/>
                <w:szCs w:val="24"/>
              </w:rPr>
            </w:pPr>
          </w:p>
        </w:tc>
        <w:tc>
          <w:tcPr>
            <w:tcW w:w="2268" w:type="dxa"/>
            <w:hideMark/>
          </w:tcPr>
          <w:p w14:paraId="73CF44A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336AABDE" w14:textId="77777777" w:rsidTr="00EA2BC8">
        <w:trPr>
          <w:trHeight w:val="288"/>
        </w:trPr>
        <w:tc>
          <w:tcPr>
            <w:tcW w:w="2830" w:type="dxa"/>
            <w:noWrap/>
            <w:hideMark/>
          </w:tcPr>
          <w:p w14:paraId="217DF652" w14:textId="77777777" w:rsidR="008446AB" w:rsidRPr="008446AB" w:rsidRDefault="008446AB" w:rsidP="00EA2BC8">
            <w:pPr>
              <w:rPr>
                <w:rFonts w:ascii="Times New Roman" w:hAnsi="Times New Roman" w:cs="Times New Roman"/>
                <w:sz w:val="24"/>
                <w:szCs w:val="24"/>
              </w:rPr>
            </w:pPr>
          </w:p>
        </w:tc>
        <w:tc>
          <w:tcPr>
            <w:tcW w:w="1843" w:type="dxa"/>
            <w:noWrap/>
            <w:hideMark/>
          </w:tcPr>
          <w:p w14:paraId="785F611B" w14:textId="77777777" w:rsidR="008446AB" w:rsidRPr="008446AB" w:rsidRDefault="008446AB" w:rsidP="00EA2BC8">
            <w:pPr>
              <w:rPr>
                <w:rFonts w:ascii="Times New Roman" w:hAnsi="Times New Roman" w:cs="Times New Roman"/>
                <w:sz w:val="24"/>
                <w:szCs w:val="24"/>
              </w:rPr>
            </w:pPr>
          </w:p>
        </w:tc>
        <w:tc>
          <w:tcPr>
            <w:tcW w:w="2126" w:type="dxa"/>
            <w:noWrap/>
            <w:hideMark/>
          </w:tcPr>
          <w:p w14:paraId="7E1D4749" w14:textId="77777777" w:rsidR="008446AB" w:rsidRPr="008446AB" w:rsidRDefault="008446AB" w:rsidP="00EA2BC8">
            <w:pPr>
              <w:rPr>
                <w:rFonts w:ascii="Times New Roman" w:hAnsi="Times New Roman" w:cs="Times New Roman"/>
                <w:sz w:val="24"/>
                <w:szCs w:val="24"/>
              </w:rPr>
            </w:pPr>
          </w:p>
        </w:tc>
        <w:tc>
          <w:tcPr>
            <w:tcW w:w="284" w:type="dxa"/>
            <w:noWrap/>
            <w:hideMark/>
          </w:tcPr>
          <w:p w14:paraId="4444ACBC" w14:textId="77777777" w:rsidR="008446AB" w:rsidRPr="008446AB" w:rsidRDefault="008446AB" w:rsidP="00EA2BC8">
            <w:pPr>
              <w:rPr>
                <w:rFonts w:ascii="Times New Roman" w:hAnsi="Times New Roman" w:cs="Times New Roman"/>
                <w:sz w:val="24"/>
                <w:szCs w:val="24"/>
              </w:rPr>
            </w:pPr>
          </w:p>
        </w:tc>
        <w:tc>
          <w:tcPr>
            <w:tcW w:w="2268" w:type="dxa"/>
            <w:noWrap/>
            <w:hideMark/>
          </w:tcPr>
          <w:p w14:paraId="19A393D2" w14:textId="77777777" w:rsidR="008446AB" w:rsidRPr="008446AB" w:rsidRDefault="008446AB" w:rsidP="00EA2BC8">
            <w:pPr>
              <w:rPr>
                <w:rFonts w:ascii="Times New Roman" w:hAnsi="Times New Roman" w:cs="Times New Roman"/>
                <w:sz w:val="24"/>
                <w:szCs w:val="24"/>
              </w:rPr>
            </w:pPr>
          </w:p>
        </w:tc>
      </w:tr>
      <w:tr w:rsidR="008446AB" w:rsidRPr="008446AB" w14:paraId="48761121" w14:textId="77777777" w:rsidTr="00EA2BC8">
        <w:trPr>
          <w:trHeight w:val="288"/>
        </w:trPr>
        <w:tc>
          <w:tcPr>
            <w:tcW w:w="2830" w:type="dxa"/>
            <w:noWrap/>
            <w:hideMark/>
          </w:tcPr>
          <w:p w14:paraId="1E502F8E"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Fixed assets investment</w:t>
            </w:r>
          </w:p>
        </w:tc>
        <w:tc>
          <w:tcPr>
            <w:tcW w:w="1843" w:type="dxa"/>
            <w:hideMark/>
          </w:tcPr>
          <w:p w14:paraId="053D0E2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2542D5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25CD154" w14:textId="77777777" w:rsidR="008446AB" w:rsidRPr="008446AB" w:rsidRDefault="008446AB" w:rsidP="00EA2BC8">
            <w:pPr>
              <w:rPr>
                <w:rFonts w:ascii="Times New Roman" w:hAnsi="Times New Roman" w:cs="Times New Roman"/>
                <w:sz w:val="24"/>
                <w:szCs w:val="24"/>
              </w:rPr>
            </w:pPr>
          </w:p>
        </w:tc>
        <w:tc>
          <w:tcPr>
            <w:tcW w:w="2268" w:type="dxa"/>
            <w:hideMark/>
          </w:tcPr>
          <w:p w14:paraId="7DD7521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6E534FD0" w14:textId="77777777" w:rsidTr="00EA2BC8">
        <w:trPr>
          <w:trHeight w:val="288"/>
        </w:trPr>
        <w:tc>
          <w:tcPr>
            <w:tcW w:w="2830" w:type="dxa"/>
            <w:noWrap/>
            <w:hideMark/>
          </w:tcPr>
          <w:p w14:paraId="747BFCB8"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Building material</w:t>
            </w:r>
          </w:p>
        </w:tc>
        <w:tc>
          <w:tcPr>
            <w:tcW w:w="1843" w:type="dxa"/>
            <w:hideMark/>
          </w:tcPr>
          <w:p w14:paraId="539B27F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258F1C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940C207" w14:textId="77777777" w:rsidR="008446AB" w:rsidRPr="008446AB" w:rsidRDefault="008446AB" w:rsidP="00EA2BC8">
            <w:pPr>
              <w:rPr>
                <w:rFonts w:ascii="Times New Roman" w:hAnsi="Times New Roman" w:cs="Times New Roman"/>
                <w:sz w:val="24"/>
                <w:szCs w:val="24"/>
              </w:rPr>
            </w:pPr>
          </w:p>
        </w:tc>
        <w:tc>
          <w:tcPr>
            <w:tcW w:w="2268" w:type="dxa"/>
            <w:hideMark/>
          </w:tcPr>
          <w:p w14:paraId="346052C0"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1095819A" w14:textId="77777777" w:rsidTr="00EA2BC8">
        <w:trPr>
          <w:trHeight w:val="288"/>
        </w:trPr>
        <w:tc>
          <w:tcPr>
            <w:tcW w:w="2830" w:type="dxa"/>
            <w:noWrap/>
            <w:hideMark/>
          </w:tcPr>
          <w:p w14:paraId="0D29C405"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Construction services</w:t>
            </w:r>
          </w:p>
        </w:tc>
        <w:tc>
          <w:tcPr>
            <w:tcW w:w="1843" w:type="dxa"/>
            <w:hideMark/>
          </w:tcPr>
          <w:p w14:paraId="1651A532"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53B3D8A"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CB4B0D2" w14:textId="77777777" w:rsidR="008446AB" w:rsidRPr="008446AB" w:rsidRDefault="008446AB" w:rsidP="00EA2BC8">
            <w:pPr>
              <w:rPr>
                <w:rFonts w:ascii="Times New Roman" w:hAnsi="Times New Roman" w:cs="Times New Roman"/>
                <w:sz w:val="24"/>
                <w:szCs w:val="24"/>
              </w:rPr>
            </w:pPr>
          </w:p>
        </w:tc>
        <w:tc>
          <w:tcPr>
            <w:tcW w:w="2268" w:type="dxa"/>
            <w:hideMark/>
          </w:tcPr>
          <w:p w14:paraId="1AF05264"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2DD75D94" w14:textId="77777777" w:rsidTr="00EA2BC8">
        <w:trPr>
          <w:trHeight w:val="288"/>
        </w:trPr>
        <w:tc>
          <w:tcPr>
            <w:tcW w:w="2830" w:type="dxa"/>
            <w:noWrap/>
            <w:hideMark/>
          </w:tcPr>
          <w:p w14:paraId="5299980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Vessels</w:t>
            </w:r>
          </w:p>
        </w:tc>
        <w:tc>
          <w:tcPr>
            <w:tcW w:w="1843" w:type="dxa"/>
            <w:hideMark/>
          </w:tcPr>
          <w:p w14:paraId="696B4A3E"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40C21B6"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0762040" w14:textId="77777777" w:rsidR="008446AB" w:rsidRPr="008446AB" w:rsidRDefault="008446AB" w:rsidP="00EA2BC8">
            <w:pPr>
              <w:rPr>
                <w:rFonts w:ascii="Times New Roman" w:hAnsi="Times New Roman" w:cs="Times New Roman"/>
                <w:sz w:val="24"/>
                <w:szCs w:val="24"/>
              </w:rPr>
            </w:pPr>
          </w:p>
        </w:tc>
        <w:tc>
          <w:tcPr>
            <w:tcW w:w="2268" w:type="dxa"/>
            <w:hideMark/>
          </w:tcPr>
          <w:p w14:paraId="7EC02EF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7B760BD3" w14:textId="77777777" w:rsidTr="00EA2BC8">
        <w:trPr>
          <w:trHeight w:val="288"/>
        </w:trPr>
        <w:tc>
          <w:tcPr>
            <w:tcW w:w="2830" w:type="dxa"/>
            <w:noWrap/>
            <w:hideMark/>
          </w:tcPr>
          <w:p w14:paraId="3A2DBD20" w14:textId="77777777" w:rsidR="008446AB" w:rsidRPr="008446AB" w:rsidRDefault="008446AB" w:rsidP="00EA2BC8">
            <w:pPr>
              <w:rPr>
                <w:rFonts w:ascii="Times New Roman" w:hAnsi="Times New Roman" w:cs="Times New Roman"/>
                <w:sz w:val="24"/>
                <w:szCs w:val="24"/>
              </w:rPr>
            </w:pPr>
          </w:p>
        </w:tc>
        <w:tc>
          <w:tcPr>
            <w:tcW w:w="1843" w:type="dxa"/>
            <w:hideMark/>
          </w:tcPr>
          <w:p w14:paraId="07BD3D9C" w14:textId="77777777" w:rsidR="008446AB" w:rsidRPr="008446AB" w:rsidRDefault="008446AB" w:rsidP="00EA2BC8">
            <w:pPr>
              <w:rPr>
                <w:rFonts w:ascii="Times New Roman" w:hAnsi="Times New Roman" w:cs="Times New Roman"/>
                <w:sz w:val="24"/>
                <w:szCs w:val="24"/>
              </w:rPr>
            </w:pPr>
          </w:p>
        </w:tc>
        <w:tc>
          <w:tcPr>
            <w:tcW w:w="2126" w:type="dxa"/>
            <w:hideMark/>
          </w:tcPr>
          <w:p w14:paraId="01F13A01" w14:textId="77777777" w:rsidR="008446AB" w:rsidRPr="008446AB" w:rsidRDefault="008446AB" w:rsidP="00EA2BC8">
            <w:pPr>
              <w:rPr>
                <w:rFonts w:ascii="Times New Roman" w:hAnsi="Times New Roman" w:cs="Times New Roman"/>
                <w:sz w:val="24"/>
                <w:szCs w:val="24"/>
              </w:rPr>
            </w:pPr>
          </w:p>
        </w:tc>
        <w:tc>
          <w:tcPr>
            <w:tcW w:w="284" w:type="dxa"/>
            <w:noWrap/>
            <w:hideMark/>
          </w:tcPr>
          <w:p w14:paraId="1E4AF1E9" w14:textId="77777777" w:rsidR="008446AB" w:rsidRPr="008446AB" w:rsidRDefault="008446AB" w:rsidP="00EA2BC8">
            <w:pPr>
              <w:rPr>
                <w:rFonts w:ascii="Times New Roman" w:hAnsi="Times New Roman" w:cs="Times New Roman"/>
                <w:sz w:val="24"/>
                <w:szCs w:val="24"/>
              </w:rPr>
            </w:pPr>
          </w:p>
        </w:tc>
        <w:tc>
          <w:tcPr>
            <w:tcW w:w="2268" w:type="dxa"/>
            <w:hideMark/>
          </w:tcPr>
          <w:p w14:paraId="3C2F3E4E" w14:textId="77777777" w:rsidR="008446AB" w:rsidRPr="008446AB" w:rsidRDefault="008446AB" w:rsidP="00EA2BC8">
            <w:pPr>
              <w:rPr>
                <w:rFonts w:ascii="Times New Roman" w:hAnsi="Times New Roman" w:cs="Times New Roman"/>
                <w:sz w:val="24"/>
                <w:szCs w:val="24"/>
              </w:rPr>
            </w:pPr>
          </w:p>
        </w:tc>
      </w:tr>
      <w:tr w:rsidR="008446AB" w:rsidRPr="008446AB" w14:paraId="0B78F3E3" w14:textId="77777777" w:rsidTr="00EA2BC8">
        <w:trPr>
          <w:trHeight w:val="288"/>
        </w:trPr>
        <w:tc>
          <w:tcPr>
            <w:tcW w:w="2830" w:type="dxa"/>
            <w:noWrap/>
            <w:hideMark/>
          </w:tcPr>
          <w:p w14:paraId="7AB0A784" w14:textId="77777777" w:rsidR="008446AB" w:rsidRPr="008446AB" w:rsidRDefault="008446AB" w:rsidP="00EA2BC8">
            <w:pPr>
              <w:rPr>
                <w:rFonts w:ascii="Times New Roman" w:hAnsi="Times New Roman" w:cs="Times New Roman"/>
                <w:b/>
                <w:bCs/>
                <w:sz w:val="24"/>
                <w:szCs w:val="24"/>
              </w:rPr>
            </w:pPr>
            <w:r w:rsidRPr="008446AB">
              <w:rPr>
                <w:rFonts w:ascii="Times New Roman" w:hAnsi="Times New Roman" w:cs="Times New Roman"/>
                <w:b/>
                <w:bCs/>
                <w:sz w:val="24"/>
                <w:szCs w:val="24"/>
              </w:rPr>
              <w:t>Other expenses</w:t>
            </w:r>
          </w:p>
        </w:tc>
        <w:tc>
          <w:tcPr>
            <w:tcW w:w="1843" w:type="dxa"/>
            <w:hideMark/>
          </w:tcPr>
          <w:p w14:paraId="66177B8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DEB88C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FEBB2E8" w14:textId="77777777" w:rsidR="008446AB" w:rsidRPr="008446AB" w:rsidRDefault="008446AB" w:rsidP="00EA2BC8">
            <w:pPr>
              <w:rPr>
                <w:rFonts w:ascii="Times New Roman" w:hAnsi="Times New Roman" w:cs="Times New Roman"/>
                <w:sz w:val="24"/>
                <w:szCs w:val="24"/>
              </w:rPr>
            </w:pPr>
          </w:p>
        </w:tc>
        <w:tc>
          <w:tcPr>
            <w:tcW w:w="2268" w:type="dxa"/>
            <w:hideMark/>
          </w:tcPr>
          <w:p w14:paraId="503B3BF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tr w:rsidR="008446AB" w:rsidRPr="008446AB" w14:paraId="40A33B68" w14:textId="77777777" w:rsidTr="00EA2BC8">
        <w:trPr>
          <w:trHeight w:val="288"/>
        </w:trPr>
        <w:tc>
          <w:tcPr>
            <w:tcW w:w="2830" w:type="dxa"/>
            <w:noWrap/>
            <w:hideMark/>
          </w:tcPr>
          <w:p w14:paraId="3A310DED"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Other expenses not included above</w:t>
            </w:r>
          </w:p>
        </w:tc>
        <w:tc>
          <w:tcPr>
            <w:tcW w:w="1843" w:type="dxa"/>
            <w:hideMark/>
          </w:tcPr>
          <w:p w14:paraId="06F01B5C"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4565F3B"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09026DC" w14:textId="77777777" w:rsidR="008446AB" w:rsidRPr="008446AB" w:rsidRDefault="008446AB" w:rsidP="00EA2BC8">
            <w:pPr>
              <w:rPr>
                <w:rFonts w:ascii="Times New Roman" w:hAnsi="Times New Roman" w:cs="Times New Roman"/>
                <w:sz w:val="24"/>
                <w:szCs w:val="24"/>
              </w:rPr>
            </w:pPr>
          </w:p>
        </w:tc>
        <w:tc>
          <w:tcPr>
            <w:tcW w:w="2268" w:type="dxa"/>
            <w:hideMark/>
          </w:tcPr>
          <w:p w14:paraId="752FAA3F" w14:textId="77777777" w:rsidR="008446AB" w:rsidRPr="008446AB" w:rsidRDefault="008446AB" w:rsidP="00EA2BC8">
            <w:pPr>
              <w:rPr>
                <w:rFonts w:ascii="Times New Roman" w:hAnsi="Times New Roman" w:cs="Times New Roman"/>
                <w:sz w:val="24"/>
                <w:szCs w:val="24"/>
              </w:rPr>
            </w:pPr>
            <w:r w:rsidRPr="008446AB">
              <w:rPr>
                <w:rFonts w:ascii="Times New Roman" w:hAnsi="Times New Roman" w:cs="Times New Roman"/>
                <w:sz w:val="24"/>
                <w:szCs w:val="24"/>
              </w:rPr>
              <w:t> </w:t>
            </w:r>
          </w:p>
        </w:tc>
      </w:tr>
      <w:bookmarkEnd w:id="11"/>
    </w:tbl>
    <w:p w14:paraId="65B4C874" w14:textId="77777777" w:rsidR="008446AB" w:rsidRPr="00C81DA1" w:rsidRDefault="008446AB" w:rsidP="005422AA">
      <w:pPr>
        <w:rPr>
          <w:rFonts w:ascii="Times New Roman" w:hAnsi="Times New Roman" w:cs="Times New Roman"/>
          <w:sz w:val="24"/>
          <w:szCs w:val="24"/>
        </w:rPr>
      </w:pPr>
    </w:p>
    <w:sectPr w:rsidR="008446AB" w:rsidRPr="00C81DA1" w:rsidSect="00D65F6F">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5CCB" w14:textId="77777777" w:rsidR="00950335" w:rsidRDefault="00950335" w:rsidP="000F2929">
      <w:pPr>
        <w:spacing w:after="0" w:line="240" w:lineRule="auto"/>
      </w:pPr>
      <w:r>
        <w:separator/>
      </w:r>
    </w:p>
  </w:endnote>
  <w:endnote w:type="continuationSeparator" w:id="0">
    <w:p w14:paraId="33E6C3C6" w14:textId="77777777" w:rsidR="00950335" w:rsidRDefault="00950335" w:rsidP="000F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23054910"/>
      <w:docPartObj>
        <w:docPartGallery w:val="Page Numbers (Bottom of Page)"/>
        <w:docPartUnique/>
      </w:docPartObj>
    </w:sdtPr>
    <w:sdtEndPr>
      <w:rPr>
        <w:noProof/>
      </w:rPr>
    </w:sdtEndPr>
    <w:sdtContent>
      <w:p w14:paraId="30C6985D" w14:textId="3F73AD74" w:rsidR="00950335" w:rsidRPr="002961BD" w:rsidRDefault="00950335">
        <w:pPr>
          <w:pStyle w:val="Footer"/>
          <w:jc w:val="center"/>
          <w:rPr>
            <w:rFonts w:ascii="Times New Roman" w:hAnsi="Times New Roman" w:cs="Times New Roman"/>
            <w:sz w:val="24"/>
            <w:szCs w:val="24"/>
          </w:rPr>
        </w:pPr>
        <w:r w:rsidRPr="002961BD">
          <w:rPr>
            <w:rFonts w:ascii="Times New Roman" w:hAnsi="Times New Roman" w:cs="Times New Roman"/>
            <w:sz w:val="24"/>
            <w:szCs w:val="24"/>
          </w:rPr>
          <w:fldChar w:fldCharType="begin"/>
        </w:r>
        <w:r w:rsidRPr="002961BD">
          <w:rPr>
            <w:rFonts w:ascii="Times New Roman" w:hAnsi="Times New Roman" w:cs="Times New Roman"/>
            <w:sz w:val="24"/>
            <w:szCs w:val="24"/>
          </w:rPr>
          <w:instrText xml:space="preserve"> PAGE   \* MERGEFORMAT </w:instrText>
        </w:r>
        <w:r w:rsidRPr="002961BD">
          <w:rPr>
            <w:rFonts w:ascii="Times New Roman" w:hAnsi="Times New Roman" w:cs="Times New Roman"/>
            <w:sz w:val="24"/>
            <w:szCs w:val="24"/>
          </w:rPr>
          <w:fldChar w:fldCharType="separate"/>
        </w:r>
        <w:r w:rsidRPr="002961BD">
          <w:rPr>
            <w:rFonts w:ascii="Times New Roman" w:hAnsi="Times New Roman" w:cs="Times New Roman"/>
            <w:noProof/>
            <w:sz w:val="24"/>
            <w:szCs w:val="24"/>
          </w:rPr>
          <w:t>2</w:t>
        </w:r>
        <w:r w:rsidRPr="002961BD">
          <w:rPr>
            <w:rFonts w:ascii="Times New Roman" w:hAnsi="Times New Roman" w:cs="Times New Roman"/>
            <w:noProof/>
            <w:sz w:val="24"/>
            <w:szCs w:val="24"/>
          </w:rPr>
          <w:fldChar w:fldCharType="end"/>
        </w:r>
      </w:p>
    </w:sdtContent>
  </w:sdt>
  <w:p w14:paraId="5CD8679E" w14:textId="77777777" w:rsidR="00950335" w:rsidRPr="002961BD" w:rsidRDefault="00950335">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150656"/>
      <w:docPartObj>
        <w:docPartGallery w:val="Page Numbers (Bottom of Page)"/>
        <w:docPartUnique/>
      </w:docPartObj>
    </w:sdtPr>
    <w:sdtEndPr>
      <w:rPr>
        <w:noProof/>
      </w:rPr>
    </w:sdtEndPr>
    <w:sdtContent>
      <w:p w14:paraId="340F1854" w14:textId="224B6D9E" w:rsidR="00950335" w:rsidRDefault="009503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BD2E8" w14:textId="77777777" w:rsidR="00950335" w:rsidRDefault="00950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98F19" w14:textId="77777777" w:rsidR="00950335" w:rsidRDefault="00950335" w:rsidP="000F2929">
      <w:pPr>
        <w:spacing w:after="0" w:line="240" w:lineRule="auto"/>
      </w:pPr>
      <w:r>
        <w:separator/>
      </w:r>
    </w:p>
  </w:footnote>
  <w:footnote w:type="continuationSeparator" w:id="0">
    <w:p w14:paraId="2CACBDDF" w14:textId="77777777" w:rsidR="00950335" w:rsidRDefault="00950335" w:rsidP="000F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0FFC" w14:textId="0AEDA314" w:rsidR="00950335" w:rsidRPr="00A161E3" w:rsidRDefault="00950335" w:rsidP="00D65F6F">
    <w:pPr>
      <w:pStyle w:val="Header"/>
      <w:jc w:val="right"/>
      <w:rPr>
        <w:rFonts w:ascii="Times New Roman" w:hAnsi="Times New Roman" w:cs="Times New Roman"/>
        <w:i/>
        <w:iCs/>
        <w:sz w:val="24"/>
        <w:szCs w:val="24"/>
      </w:rPr>
    </w:pPr>
    <w:r w:rsidRPr="00A161E3">
      <w:rPr>
        <w:rFonts w:ascii="Times New Roman" w:hAnsi="Times New Roman" w:cs="Times New Roman"/>
        <w:i/>
        <w:iCs/>
        <w:sz w:val="24"/>
        <w:szCs w:val="24"/>
      </w:rPr>
      <w:t>Issued 15 October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D32"/>
    <w:multiLevelType w:val="hybridMultilevel"/>
    <w:tmpl w:val="D28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244"/>
    <w:multiLevelType w:val="multilevel"/>
    <w:tmpl w:val="55AE6628"/>
    <w:lvl w:ilvl="0">
      <w:start w:val="1"/>
      <w:numFmt w:val="bullet"/>
      <w:lvlText w:val=""/>
      <w:lvlJc w:val="left"/>
      <w:pPr>
        <w:tabs>
          <w:tab w:val="num" w:pos="420"/>
        </w:tabs>
        <w:ind w:left="420" w:hanging="420"/>
      </w:pPr>
      <w:rPr>
        <w:rFonts w:ascii="Symbol" w:hAnsi="Symbol" w:hint="default"/>
        <w:b/>
      </w:rPr>
    </w:lvl>
    <w:lvl w:ilvl="1">
      <w:start w:val="1"/>
      <w:numFmt w:val="bullet"/>
      <w:lvlText w:val="o"/>
      <w:lvlJc w:val="left"/>
      <w:pPr>
        <w:tabs>
          <w:tab w:val="num" w:pos="1140"/>
        </w:tabs>
        <w:ind w:left="1140" w:hanging="420"/>
      </w:pPr>
      <w:rPr>
        <w:rFonts w:ascii="Courier New" w:hAnsi="Courier New" w:cs="Courier New"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111B63D0"/>
    <w:multiLevelType w:val="hybridMultilevel"/>
    <w:tmpl w:val="A94C4994"/>
    <w:lvl w:ilvl="0" w:tplc="C03A17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477922"/>
    <w:multiLevelType w:val="hybridMultilevel"/>
    <w:tmpl w:val="D842FAB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AC64AA"/>
    <w:multiLevelType w:val="hybridMultilevel"/>
    <w:tmpl w:val="25187A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7870DC2"/>
    <w:multiLevelType w:val="hybridMultilevel"/>
    <w:tmpl w:val="1A5A6D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9DD47E5"/>
    <w:multiLevelType w:val="hybridMultilevel"/>
    <w:tmpl w:val="CC0A5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AD27F1C"/>
    <w:multiLevelType w:val="hybridMultilevel"/>
    <w:tmpl w:val="5954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744CC"/>
    <w:multiLevelType w:val="hybridMultilevel"/>
    <w:tmpl w:val="27F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071"/>
    <w:multiLevelType w:val="multilevel"/>
    <w:tmpl w:val="55AE6628"/>
    <w:lvl w:ilvl="0">
      <w:start w:val="1"/>
      <w:numFmt w:val="bullet"/>
      <w:lvlText w:val=""/>
      <w:lvlJc w:val="left"/>
      <w:pPr>
        <w:tabs>
          <w:tab w:val="num" w:pos="420"/>
        </w:tabs>
        <w:ind w:left="420" w:hanging="420"/>
      </w:pPr>
      <w:rPr>
        <w:rFonts w:ascii="Symbol" w:hAnsi="Symbol" w:hint="default"/>
        <w:b/>
      </w:rPr>
    </w:lvl>
    <w:lvl w:ilvl="1">
      <w:start w:val="1"/>
      <w:numFmt w:val="bullet"/>
      <w:lvlText w:val="o"/>
      <w:lvlJc w:val="left"/>
      <w:pPr>
        <w:tabs>
          <w:tab w:val="num" w:pos="1140"/>
        </w:tabs>
        <w:ind w:left="1140" w:hanging="420"/>
      </w:pPr>
      <w:rPr>
        <w:rFonts w:ascii="Courier New" w:hAnsi="Courier New" w:cs="Courier New"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3D745008"/>
    <w:multiLevelType w:val="hybridMultilevel"/>
    <w:tmpl w:val="F3A0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E5E13"/>
    <w:multiLevelType w:val="hybridMultilevel"/>
    <w:tmpl w:val="AB0A299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526527B2"/>
    <w:multiLevelType w:val="hybridMultilevel"/>
    <w:tmpl w:val="27E4D6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6762AB7"/>
    <w:multiLevelType w:val="hybridMultilevel"/>
    <w:tmpl w:val="B1C082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D624A01"/>
    <w:multiLevelType w:val="hybridMultilevel"/>
    <w:tmpl w:val="BDE694D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62EF45E1"/>
    <w:multiLevelType w:val="hybridMultilevel"/>
    <w:tmpl w:val="C4A8D268"/>
    <w:lvl w:ilvl="0" w:tplc="4A16829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02A22"/>
    <w:multiLevelType w:val="hybridMultilevel"/>
    <w:tmpl w:val="3FA2856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6B9F0B1D"/>
    <w:multiLevelType w:val="hybridMultilevel"/>
    <w:tmpl w:val="EEAA804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65A30"/>
    <w:multiLevelType w:val="multilevel"/>
    <w:tmpl w:val="2AEE6924"/>
    <w:lvl w:ilvl="0">
      <w:start w:val="1"/>
      <w:numFmt w:val="decimal"/>
      <w:lvlText w:val="%1."/>
      <w:lvlJc w:val="left"/>
      <w:pPr>
        <w:tabs>
          <w:tab w:val="num" w:pos="420"/>
        </w:tabs>
        <w:ind w:left="420" w:hanging="420"/>
      </w:pPr>
      <w:rPr>
        <w:rFonts w:hint="default"/>
        <w:b/>
      </w:rPr>
    </w:lvl>
    <w:lvl w:ilvl="1">
      <w:start w:val="1"/>
      <w:numFmt w:val="bullet"/>
      <w:lvlText w:val="o"/>
      <w:lvlJc w:val="left"/>
      <w:pPr>
        <w:tabs>
          <w:tab w:val="num" w:pos="1140"/>
        </w:tabs>
        <w:ind w:left="1140" w:hanging="420"/>
      </w:pPr>
      <w:rPr>
        <w:rFonts w:ascii="Courier New" w:hAnsi="Courier New" w:cs="Courier New"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76F30F7C"/>
    <w:multiLevelType w:val="hybridMultilevel"/>
    <w:tmpl w:val="88605540"/>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797D7A2E"/>
    <w:multiLevelType w:val="hybridMultilevel"/>
    <w:tmpl w:val="0D54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18"/>
  </w:num>
  <w:num w:numId="6">
    <w:abstractNumId w:val="1"/>
  </w:num>
  <w:num w:numId="7">
    <w:abstractNumId w:val="9"/>
  </w:num>
  <w:num w:numId="8">
    <w:abstractNumId w:val="12"/>
  </w:num>
  <w:num w:numId="9">
    <w:abstractNumId w:val="4"/>
  </w:num>
  <w:num w:numId="10">
    <w:abstractNumId w:val="14"/>
  </w:num>
  <w:num w:numId="11">
    <w:abstractNumId w:val="10"/>
  </w:num>
  <w:num w:numId="12">
    <w:abstractNumId w:val="15"/>
  </w:num>
  <w:num w:numId="13">
    <w:abstractNumId w:val="17"/>
  </w:num>
  <w:num w:numId="14">
    <w:abstractNumId w:val="19"/>
  </w:num>
  <w:num w:numId="15">
    <w:abstractNumId w:val="20"/>
  </w:num>
  <w:num w:numId="16">
    <w:abstractNumId w:val="11"/>
  </w:num>
  <w:num w:numId="17">
    <w:abstractNumId w:val="2"/>
  </w:num>
  <w:num w:numId="18">
    <w:abstractNumId w:val="13"/>
  </w:num>
  <w:num w:numId="19">
    <w:abstractNumId w:val="13"/>
  </w:num>
  <w:num w:numId="20">
    <w:abstractNumId w:val="16"/>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1F"/>
    <w:rsid w:val="000055B6"/>
    <w:rsid w:val="0002369B"/>
    <w:rsid w:val="00023BE7"/>
    <w:rsid w:val="000324B2"/>
    <w:rsid w:val="00036355"/>
    <w:rsid w:val="00047E71"/>
    <w:rsid w:val="00056C98"/>
    <w:rsid w:val="00064A2A"/>
    <w:rsid w:val="00071598"/>
    <w:rsid w:val="00096E82"/>
    <w:rsid w:val="000A1251"/>
    <w:rsid w:val="000B7716"/>
    <w:rsid w:val="000C0B90"/>
    <w:rsid w:val="000C79E5"/>
    <w:rsid w:val="000E4972"/>
    <w:rsid w:val="000F2929"/>
    <w:rsid w:val="000F7FDC"/>
    <w:rsid w:val="0010227C"/>
    <w:rsid w:val="00103595"/>
    <w:rsid w:val="00103D53"/>
    <w:rsid w:val="001060D9"/>
    <w:rsid w:val="0013174E"/>
    <w:rsid w:val="00147629"/>
    <w:rsid w:val="00151E68"/>
    <w:rsid w:val="00160166"/>
    <w:rsid w:val="00192A96"/>
    <w:rsid w:val="00195EBA"/>
    <w:rsid w:val="001A1579"/>
    <w:rsid w:val="001A2E6D"/>
    <w:rsid w:val="001A5211"/>
    <w:rsid w:val="001B2A2C"/>
    <w:rsid w:val="001C20F8"/>
    <w:rsid w:val="001D33ED"/>
    <w:rsid w:val="001E2073"/>
    <w:rsid w:val="001E65EA"/>
    <w:rsid w:val="00205472"/>
    <w:rsid w:val="002064FC"/>
    <w:rsid w:val="0021053B"/>
    <w:rsid w:val="00244131"/>
    <w:rsid w:val="0026205E"/>
    <w:rsid w:val="00263FB7"/>
    <w:rsid w:val="00264B1F"/>
    <w:rsid w:val="002657DF"/>
    <w:rsid w:val="002961BD"/>
    <w:rsid w:val="002A40EA"/>
    <w:rsid w:val="002B0CB6"/>
    <w:rsid w:val="002B23E9"/>
    <w:rsid w:val="002B3ACC"/>
    <w:rsid w:val="002B52EC"/>
    <w:rsid w:val="002C0B16"/>
    <w:rsid w:val="002C4135"/>
    <w:rsid w:val="002D514A"/>
    <w:rsid w:val="002D62EE"/>
    <w:rsid w:val="002D63F8"/>
    <w:rsid w:val="002F0C40"/>
    <w:rsid w:val="002F6757"/>
    <w:rsid w:val="003213B0"/>
    <w:rsid w:val="00332834"/>
    <w:rsid w:val="00333A14"/>
    <w:rsid w:val="003432B4"/>
    <w:rsid w:val="00356FA1"/>
    <w:rsid w:val="003577F6"/>
    <w:rsid w:val="00386460"/>
    <w:rsid w:val="00386685"/>
    <w:rsid w:val="003A2096"/>
    <w:rsid w:val="003C72D6"/>
    <w:rsid w:val="003D6A95"/>
    <w:rsid w:val="003E4242"/>
    <w:rsid w:val="004018F0"/>
    <w:rsid w:val="00403F31"/>
    <w:rsid w:val="004070A0"/>
    <w:rsid w:val="00427526"/>
    <w:rsid w:val="0043408F"/>
    <w:rsid w:val="00445F0B"/>
    <w:rsid w:val="004605F3"/>
    <w:rsid w:val="00477154"/>
    <w:rsid w:val="004835E5"/>
    <w:rsid w:val="00485289"/>
    <w:rsid w:val="004D652C"/>
    <w:rsid w:val="004E147E"/>
    <w:rsid w:val="004F794F"/>
    <w:rsid w:val="00506E93"/>
    <w:rsid w:val="00521250"/>
    <w:rsid w:val="00532554"/>
    <w:rsid w:val="00541795"/>
    <w:rsid w:val="005422AA"/>
    <w:rsid w:val="00544AC4"/>
    <w:rsid w:val="00547B2E"/>
    <w:rsid w:val="00552DE4"/>
    <w:rsid w:val="00564646"/>
    <w:rsid w:val="0057459E"/>
    <w:rsid w:val="0057760B"/>
    <w:rsid w:val="00585817"/>
    <w:rsid w:val="00586117"/>
    <w:rsid w:val="005920A3"/>
    <w:rsid w:val="00592B79"/>
    <w:rsid w:val="005A5FD6"/>
    <w:rsid w:val="005C3CFD"/>
    <w:rsid w:val="005F1300"/>
    <w:rsid w:val="005F150A"/>
    <w:rsid w:val="00604BF9"/>
    <w:rsid w:val="0061203F"/>
    <w:rsid w:val="00616E89"/>
    <w:rsid w:val="006268ED"/>
    <w:rsid w:val="00632D40"/>
    <w:rsid w:val="00640825"/>
    <w:rsid w:val="00646C6D"/>
    <w:rsid w:val="006622C7"/>
    <w:rsid w:val="0068183B"/>
    <w:rsid w:val="006A32D6"/>
    <w:rsid w:val="006A6156"/>
    <w:rsid w:val="006C5244"/>
    <w:rsid w:val="006E0C67"/>
    <w:rsid w:val="00700202"/>
    <w:rsid w:val="00711CC7"/>
    <w:rsid w:val="00720D28"/>
    <w:rsid w:val="0073151F"/>
    <w:rsid w:val="00753776"/>
    <w:rsid w:val="0076328B"/>
    <w:rsid w:val="00781EED"/>
    <w:rsid w:val="007973B3"/>
    <w:rsid w:val="00797DF7"/>
    <w:rsid w:val="007A2C2F"/>
    <w:rsid w:val="007B55F0"/>
    <w:rsid w:val="007B6BD5"/>
    <w:rsid w:val="007D6087"/>
    <w:rsid w:val="007E450B"/>
    <w:rsid w:val="007E678D"/>
    <w:rsid w:val="00806CA8"/>
    <w:rsid w:val="008213C6"/>
    <w:rsid w:val="00831C4F"/>
    <w:rsid w:val="008446AB"/>
    <w:rsid w:val="0087304C"/>
    <w:rsid w:val="008818FC"/>
    <w:rsid w:val="00882A90"/>
    <w:rsid w:val="00885EEB"/>
    <w:rsid w:val="0088679A"/>
    <w:rsid w:val="008872B6"/>
    <w:rsid w:val="00890FD7"/>
    <w:rsid w:val="00892400"/>
    <w:rsid w:val="00895D72"/>
    <w:rsid w:val="008A0FCE"/>
    <w:rsid w:val="008A1BB6"/>
    <w:rsid w:val="008A5F16"/>
    <w:rsid w:val="008D5ED2"/>
    <w:rsid w:val="008E5BDC"/>
    <w:rsid w:val="00904598"/>
    <w:rsid w:val="009118B3"/>
    <w:rsid w:val="00944F95"/>
    <w:rsid w:val="00950335"/>
    <w:rsid w:val="00955B11"/>
    <w:rsid w:val="0096472F"/>
    <w:rsid w:val="009D66C6"/>
    <w:rsid w:val="009D6B88"/>
    <w:rsid w:val="009E05B2"/>
    <w:rsid w:val="009E52E6"/>
    <w:rsid w:val="009F1CAE"/>
    <w:rsid w:val="009F2BF4"/>
    <w:rsid w:val="009F67C8"/>
    <w:rsid w:val="00A05226"/>
    <w:rsid w:val="00A074F4"/>
    <w:rsid w:val="00A140A8"/>
    <w:rsid w:val="00A161E3"/>
    <w:rsid w:val="00A23A74"/>
    <w:rsid w:val="00A36198"/>
    <w:rsid w:val="00A53BFC"/>
    <w:rsid w:val="00A805EE"/>
    <w:rsid w:val="00A87D55"/>
    <w:rsid w:val="00AA1E1F"/>
    <w:rsid w:val="00AE22F3"/>
    <w:rsid w:val="00AF09DA"/>
    <w:rsid w:val="00B00B3C"/>
    <w:rsid w:val="00B01BF4"/>
    <w:rsid w:val="00B071B9"/>
    <w:rsid w:val="00B211A3"/>
    <w:rsid w:val="00B3221F"/>
    <w:rsid w:val="00B417A7"/>
    <w:rsid w:val="00B576F7"/>
    <w:rsid w:val="00B57CD5"/>
    <w:rsid w:val="00B81951"/>
    <w:rsid w:val="00B82614"/>
    <w:rsid w:val="00BA12BA"/>
    <w:rsid w:val="00BA55B3"/>
    <w:rsid w:val="00BB4D2F"/>
    <w:rsid w:val="00BC63B8"/>
    <w:rsid w:val="00BE4D06"/>
    <w:rsid w:val="00BF101F"/>
    <w:rsid w:val="00BF1DF6"/>
    <w:rsid w:val="00BF6DB9"/>
    <w:rsid w:val="00C04BEA"/>
    <w:rsid w:val="00C113B6"/>
    <w:rsid w:val="00C13316"/>
    <w:rsid w:val="00C13BFB"/>
    <w:rsid w:val="00C25914"/>
    <w:rsid w:val="00C564BA"/>
    <w:rsid w:val="00C75167"/>
    <w:rsid w:val="00C81DA1"/>
    <w:rsid w:val="00C96A6B"/>
    <w:rsid w:val="00CA2915"/>
    <w:rsid w:val="00CA5EEA"/>
    <w:rsid w:val="00CA7FF8"/>
    <w:rsid w:val="00CB6ED7"/>
    <w:rsid w:val="00CC0217"/>
    <w:rsid w:val="00CF2672"/>
    <w:rsid w:val="00CF55C4"/>
    <w:rsid w:val="00CF5EB6"/>
    <w:rsid w:val="00D13618"/>
    <w:rsid w:val="00D22D52"/>
    <w:rsid w:val="00D42B39"/>
    <w:rsid w:val="00D508A1"/>
    <w:rsid w:val="00D5576E"/>
    <w:rsid w:val="00D65F6F"/>
    <w:rsid w:val="00D66EF7"/>
    <w:rsid w:val="00D67291"/>
    <w:rsid w:val="00D840A2"/>
    <w:rsid w:val="00D87373"/>
    <w:rsid w:val="00D954C1"/>
    <w:rsid w:val="00DA15DC"/>
    <w:rsid w:val="00DA44C8"/>
    <w:rsid w:val="00DC2D45"/>
    <w:rsid w:val="00DD364C"/>
    <w:rsid w:val="00DD573E"/>
    <w:rsid w:val="00E10E12"/>
    <w:rsid w:val="00E22754"/>
    <w:rsid w:val="00E45E99"/>
    <w:rsid w:val="00E523D9"/>
    <w:rsid w:val="00E5560B"/>
    <w:rsid w:val="00E5710D"/>
    <w:rsid w:val="00E87B53"/>
    <w:rsid w:val="00E92893"/>
    <w:rsid w:val="00E93636"/>
    <w:rsid w:val="00E94DA3"/>
    <w:rsid w:val="00E972D2"/>
    <w:rsid w:val="00EA2BC8"/>
    <w:rsid w:val="00EA5991"/>
    <w:rsid w:val="00EE5999"/>
    <w:rsid w:val="00EF4BAF"/>
    <w:rsid w:val="00F0095C"/>
    <w:rsid w:val="00F1446A"/>
    <w:rsid w:val="00F23391"/>
    <w:rsid w:val="00F27BD9"/>
    <w:rsid w:val="00F368B7"/>
    <w:rsid w:val="00F37B68"/>
    <w:rsid w:val="00F461A7"/>
    <w:rsid w:val="00F51FD8"/>
    <w:rsid w:val="00F63D21"/>
    <w:rsid w:val="00F77D09"/>
    <w:rsid w:val="00F8100A"/>
    <w:rsid w:val="00F81C98"/>
    <w:rsid w:val="00FB1144"/>
    <w:rsid w:val="00FB3652"/>
    <w:rsid w:val="00FC0BD2"/>
    <w:rsid w:val="00FC2DDC"/>
    <w:rsid w:val="00FC5149"/>
    <w:rsid w:val="00FD3FCC"/>
    <w:rsid w:val="00FE3478"/>
    <w:rsid w:val="00FE62DD"/>
    <w:rsid w:val="00FF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39E55E"/>
  <w15:chartTrackingRefBased/>
  <w15:docId w15:val="{74B32240-1A9B-4B1C-8F93-CED41B16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7B68"/>
    <w:rPr>
      <w:sz w:val="16"/>
      <w:szCs w:val="16"/>
    </w:rPr>
  </w:style>
  <w:style w:type="paragraph" w:styleId="CommentText">
    <w:name w:val="annotation text"/>
    <w:basedOn w:val="Normal"/>
    <w:link w:val="CommentTextChar"/>
    <w:uiPriority w:val="99"/>
    <w:semiHidden/>
    <w:unhideWhenUsed/>
    <w:rsid w:val="00F37B68"/>
    <w:pPr>
      <w:spacing w:line="240" w:lineRule="auto"/>
    </w:pPr>
    <w:rPr>
      <w:sz w:val="20"/>
      <w:szCs w:val="20"/>
    </w:rPr>
  </w:style>
  <w:style w:type="character" w:customStyle="1" w:styleId="CommentTextChar">
    <w:name w:val="Comment Text Char"/>
    <w:basedOn w:val="DefaultParagraphFont"/>
    <w:link w:val="CommentText"/>
    <w:uiPriority w:val="99"/>
    <w:semiHidden/>
    <w:rsid w:val="00F37B68"/>
    <w:rPr>
      <w:sz w:val="20"/>
      <w:szCs w:val="20"/>
    </w:rPr>
  </w:style>
  <w:style w:type="paragraph" w:styleId="CommentSubject">
    <w:name w:val="annotation subject"/>
    <w:basedOn w:val="CommentText"/>
    <w:next w:val="CommentText"/>
    <w:link w:val="CommentSubjectChar"/>
    <w:uiPriority w:val="99"/>
    <w:semiHidden/>
    <w:unhideWhenUsed/>
    <w:rsid w:val="00F37B68"/>
    <w:rPr>
      <w:b/>
      <w:bCs/>
    </w:rPr>
  </w:style>
  <w:style w:type="character" w:customStyle="1" w:styleId="CommentSubjectChar">
    <w:name w:val="Comment Subject Char"/>
    <w:basedOn w:val="CommentTextChar"/>
    <w:link w:val="CommentSubject"/>
    <w:uiPriority w:val="99"/>
    <w:semiHidden/>
    <w:rsid w:val="00F37B68"/>
    <w:rPr>
      <w:b/>
      <w:bCs/>
      <w:sz w:val="20"/>
      <w:szCs w:val="20"/>
    </w:rPr>
  </w:style>
  <w:style w:type="paragraph" w:styleId="BalloonText">
    <w:name w:val="Balloon Text"/>
    <w:basedOn w:val="Normal"/>
    <w:link w:val="BalloonTextChar"/>
    <w:uiPriority w:val="99"/>
    <w:semiHidden/>
    <w:unhideWhenUsed/>
    <w:rsid w:val="00F37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B68"/>
    <w:rPr>
      <w:rFonts w:ascii="Segoe UI" w:hAnsi="Segoe UI" w:cs="Segoe UI"/>
      <w:sz w:val="18"/>
      <w:szCs w:val="18"/>
    </w:rPr>
  </w:style>
  <w:style w:type="paragraph" w:styleId="ListParagraph">
    <w:name w:val="List Paragraph"/>
    <w:basedOn w:val="Normal"/>
    <w:uiPriority w:val="34"/>
    <w:qFormat/>
    <w:rsid w:val="00604BF9"/>
    <w:pPr>
      <w:ind w:left="720"/>
      <w:contextualSpacing/>
    </w:pPr>
  </w:style>
  <w:style w:type="table" w:styleId="TableGrid">
    <w:name w:val="Table Grid"/>
    <w:basedOn w:val="TableNormal"/>
    <w:uiPriority w:val="39"/>
    <w:rsid w:val="00FE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2D4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2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929"/>
  </w:style>
  <w:style w:type="paragraph" w:styleId="Footer">
    <w:name w:val="footer"/>
    <w:basedOn w:val="Normal"/>
    <w:link w:val="FooterChar"/>
    <w:uiPriority w:val="99"/>
    <w:unhideWhenUsed/>
    <w:rsid w:val="000F2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5292">
      <w:bodyDiv w:val="1"/>
      <w:marLeft w:val="0"/>
      <w:marRight w:val="0"/>
      <w:marTop w:val="0"/>
      <w:marBottom w:val="0"/>
      <w:divBdr>
        <w:top w:val="none" w:sz="0" w:space="0" w:color="auto"/>
        <w:left w:val="none" w:sz="0" w:space="0" w:color="auto"/>
        <w:bottom w:val="none" w:sz="0" w:space="0" w:color="auto"/>
        <w:right w:val="none" w:sz="0" w:space="0" w:color="auto"/>
      </w:divBdr>
    </w:div>
    <w:div w:id="214238363">
      <w:bodyDiv w:val="1"/>
      <w:marLeft w:val="0"/>
      <w:marRight w:val="0"/>
      <w:marTop w:val="0"/>
      <w:marBottom w:val="0"/>
      <w:divBdr>
        <w:top w:val="none" w:sz="0" w:space="0" w:color="auto"/>
        <w:left w:val="none" w:sz="0" w:space="0" w:color="auto"/>
        <w:bottom w:val="none" w:sz="0" w:space="0" w:color="auto"/>
        <w:right w:val="none" w:sz="0" w:space="0" w:color="auto"/>
      </w:divBdr>
    </w:div>
    <w:div w:id="247351894">
      <w:bodyDiv w:val="1"/>
      <w:marLeft w:val="0"/>
      <w:marRight w:val="0"/>
      <w:marTop w:val="0"/>
      <w:marBottom w:val="0"/>
      <w:divBdr>
        <w:top w:val="none" w:sz="0" w:space="0" w:color="auto"/>
        <w:left w:val="none" w:sz="0" w:space="0" w:color="auto"/>
        <w:bottom w:val="none" w:sz="0" w:space="0" w:color="auto"/>
        <w:right w:val="none" w:sz="0" w:space="0" w:color="auto"/>
      </w:divBdr>
    </w:div>
    <w:div w:id="700209958">
      <w:bodyDiv w:val="1"/>
      <w:marLeft w:val="0"/>
      <w:marRight w:val="0"/>
      <w:marTop w:val="0"/>
      <w:marBottom w:val="0"/>
      <w:divBdr>
        <w:top w:val="none" w:sz="0" w:space="0" w:color="auto"/>
        <w:left w:val="none" w:sz="0" w:space="0" w:color="auto"/>
        <w:bottom w:val="none" w:sz="0" w:space="0" w:color="auto"/>
        <w:right w:val="none" w:sz="0" w:space="0" w:color="auto"/>
      </w:divBdr>
    </w:div>
    <w:div w:id="962728887">
      <w:bodyDiv w:val="1"/>
      <w:marLeft w:val="0"/>
      <w:marRight w:val="0"/>
      <w:marTop w:val="0"/>
      <w:marBottom w:val="0"/>
      <w:divBdr>
        <w:top w:val="none" w:sz="0" w:space="0" w:color="auto"/>
        <w:left w:val="none" w:sz="0" w:space="0" w:color="auto"/>
        <w:bottom w:val="none" w:sz="0" w:space="0" w:color="auto"/>
        <w:right w:val="none" w:sz="0" w:space="0" w:color="auto"/>
      </w:divBdr>
    </w:div>
    <w:div w:id="1486316067">
      <w:bodyDiv w:val="1"/>
      <w:marLeft w:val="0"/>
      <w:marRight w:val="0"/>
      <w:marTop w:val="0"/>
      <w:marBottom w:val="0"/>
      <w:divBdr>
        <w:top w:val="none" w:sz="0" w:space="0" w:color="auto"/>
        <w:left w:val="none" w:sz="0" w:space="0" w:color="auto"/>
        <w:bottom w:val="none" w:sz="0" w:space="0" w:color="auto"/>
        <w:right w:val="none" w:sz="0" w:space="0" w:color="auto"/>
      </w:divBdr>
    </w:div>
    <w:div w:id="1624535722">
      <w:bodyDiv w:val="1"/>
      <w:marLeft w:val="0"/>
      <w:marRight w:val="0"/>
      <w:marTop w:val="0"/>
      <w:marBottom w:val="0"/>
      <w:divBdr>
        <w:top w:val="none" w:sz="0" w:space="0" w:color="auto"/>
        <w:left w:val="none" w:sz="0" w:space="0" w:color="auto"/>
        <w:bottom w:val="none" w:sz="0" w:space="0" w:color="auto"/>
        <w:right w:val="none" w:sz="0" w:space="0" w:color="auto"/>
      </w:divBdr>
    </w:div>
    <w:div w:id="18974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03000-2D02-486D-9E6B-05FDDA46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4540</Words>
  <Characters>25883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Jeffrey (Senior Public Policy Advisor)</dc:creator>
  <cp:keywords/>
  <dc:description/>
  <cp:lastModifiedBy>Andrea Clausen (Director of Natural Resources)</cp:lastModifiedBy>
  <cp:revision>2</cp:revision>
  <cp:lastPrinted>2021-08-30T17:02:00Z</cp:lastPrinted>
  <dcterms:created xsi:type="dcterms:W3CDTF">2022-05-19T20:14:00Z</dcterms:created>
  <dcterms:modified xsi:type="dcterms:W3CDTF">2022-05-19T20:14:00Z</dcterms:modified>
</cp:coreProperties>
</file>